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721"/>
        <w:tblW w:w="11040" w:type="dxa"/>
        <w:tblLook w:val="0000"/>
      </w:tblPr>
      <w:tblGrid>
        <w:gridCol w:w="2388"/>
        <w:gridCol w:w="8652"/>
      </w:tblGrid>
      <w:tr w:rsidR="005971A1" w:rsidTr="00BA3E01">
        <w:tc>
          <w:tcPr>
            <w:tcW w:w="2388" w:type="dxa"/>
          </w:tcPr>
          <w:p w:rsidR="005971A1" w:rsidRDefault="0016614D" w:rsidP="00BA3E01">
            <w:pPr>
              <w:pStyle w:val="Heading1"/>
              <w:jc w:val="left"/>
            </w:pPr>
            <w:r>
              <w:rPr>
                <w:noProof/>
                <w:sz w:val="32"/>
              </w:rPr>
              <w:drawing>
                <wp:inline distT="0" distB="0" distL="0" distR="0">
                  <wp:extent cx="1104900" cy="933450"/>
                  <wp:effectExtent l="1905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a:srcRect/>
                          <a:stretch>
                            <a:fillRect/>
                          </a:stretch>
                        </pic:blipFill>
                        <pic:spPr bwMode="auto">
                          <a:xfrm>
                            <a:off x="0" y="0"/>
                            <a:ext cx="1104900" cy="933450"/>
                          </a:xfrm>
                          <a:prstGeom prst="rect">
                            <a:avLst/>
                          </a:prstGeom>
                          <a:noFill/>
                          <a:ln w="9525">
                            <a:noFill/>
                            <a:miter lim="800000"/>
                            <a:headEnd/>
                            <a:tailEnd/>
                          </a:ln>
                        </pic:spPr>
                      </pic:pic>
                    </a:graphicData>
                  </a:graphic>
                </wp:inline>
              </w:drawing>
            </w:r>
          </w:p>
        </w:tc>
        <w:tc>
          <w:tcPr>
            <w:tcW w:w="8652" w:type="dxa"/>
          </w:tcPr>
          <w:p w:rsidR="005971A1" w:rsidRPr="00501AF3" w:rsidRDefault="005971A1" w:rsidP="00BA3E01">
            <w:pPr>
              <w:pStyle w:val="Heading1"/>
              <w:spacing w:after="60"/>
              <w:rPr>
                <w:sz w:val="40"/>
                <w:szCs w:val="40"/>
              </w:rPr>
            </w:pPr>
            <w:r>
              <w:rPr>
                <w:sz w:val="40"/>
                <w:szCs w:val="40"/>
              </w:rPr>
              <w:t xml:space="preserve">NPAIHB </w:t>
            </w:r>
            <w:r w:rsidRPr="00501AF3">
              <w:rPr>
                <w:sz w:val="40"/>
                <w:szCs w:val="40"/>
              </w:rPr>
              <w:t xml:space="preserve">POLICY </w:t>
            </w:r>
            <w:r>
              <w:rPr>
                <w:sz w:val="40"/>
                <w:szCs w:val="40"/>
              </w:rPr>
              <w:t>BRIEF</w:t>
            </w:r>
          </w:p>
          <w:p w:rsidR="005971A1" w:rsidRDefault="000D5FB5" w:rsidP="00BA3E01">
            <w:pPr>
              <w:pStyle w:val="Heading1"/>
              <w:rPr>
                <w:sz w:val="24"/>
                <w:u w:val="none"/>
              </w:rPr>
            </w:pPr>
            <w:r>
              <w:rPr>
                <w:sz w:val="32"/>
                <w:u w:val="none"/>
              </w:rPr>
              <w:t>Brief Analysis of President’s FY 2010 IHS Budget</w:t>
            </w:r>
          </w:p>
          <w:p w:rsidR="005971A1" w:rsidRDefault="005971A1" w:rsidP="00BA3E01"/>
          <w:p w:rsidR="005971A1" w:rsidRDefault="005971A1" w:rsidP="00BA3E01">
            <w:pPr>
              <w:spacing w:after="120"/>
              <w:jc w:val="right"/>
              <w:rPr>
                <w:rFonts w:ascii="Arial" w:hAnsi="Arial" w:cs="Arial"/>
                <w:color w:val="808080"/>
                <w:sz w:val="22"/>
              </w:rPr>
            </w:pPr>
            <w:r>
              <w:rPr>
                <w:rFonts w:ascii="Arial" w:hAnsi="Arial" w:cs="Arial"/>
                <w:color w:val="808080"/>
                <w:sz w:val="22"/>
              </w:rPr>
              <w:t xml:space="preserve">PREPARED BY: </w:t>
            </w:r>
            <w:smartTag w:uri="urn:schemas-microsoft-com:office:smarttags" w:element="place">
              <w:r>
                <w:rPr>
                  <w:rFonts w:ascii="Arial" w:hAnsi="Arial" w:cs="Arial"/>
                  <w:color w:val="808080"/>
                  <w:sz w:val="22"/>
                </w:rPr>
                <w:t>NORTHWEST PORTLAND</w:t>
              </w:r>
            </w:smartTag>
            <w:r>
              <w:rPr>
                <w:rFonts w:ascii="Arial" w:hAnsi="Arial" w:cs="Arial"/>
                <w:color w:val="808080"/>
                <w:sz w:val="22"/>
              </w:rPr>
              <w:t xml:space="preserve"> AREA INDIAN HEALTH BOARD</w:t>
            </w:r>
          </w:p>
          <w:p w:rsidR="00D95E81" w:rsidRDefault="005971A1" w:rsidP="00ED539A">
            <w:pPr>
              <w:jc w:val="right"/>
              <w:rPr>
                <w:rFonts w:ascii="Arial" w:hAnsi="Arial" w:cs="Arial"/>
                <w:sz w:val="18"/>
                <w:szCs w:val="18"/>
              </w:rPr>
            </w:pPr>
            <w:r w:rsidRPr="005055E4">
              <w:rPr>
                <w:rFonts w:ascii="Arial" w:hAnsi="Arial" w:cs="Arial"/>
                <w:sz w:val="18"/>
                <w:szCs w:val="18"/>
              </w:rPr>
              <w:t>Issue No.0</w:t>
            </w:r>
            <w:r w:rsidR="00ED539A">
              <w:rPr>
                <w:rFonts w:ascii="Arial" w:hAnsi="Arial" w:cs="Arial"/>
                <w:sz w:val="18"/>
                <w:szCs w:val="18"/>
              </w:rPr>
              <w:t>5</w:t>
            </w:r>
            <w:r w:rsidRPr="005055E4">
              <w:rPr>
                <w:rFonts w:ascii="Arial" w:hAnsi="Arial" w:cs="Arial"/>
                <w:sz w:val="18"/>
                <w:szCs w:val="18"/>
              </w:rPr>
              <w:t xml:space="preserve">, </w:t>
            </w:r>
            <w:r w:rsidR="00ED539A">
              <w:rPr>
                <w:rFonts w:ascii="Arial" w:hAnsi="Arial" w:cs="Arial"/>
                <w:sz w:val="18"/>
                <w:szCs w:val="18"/>
              </w:rPr>
              <w:t xml:space="preserve">March 16, 2009 </w:t>
            </w:r>
          </w:p>
          <w:p w:rsidR="005971A1" w:rsidRPr="005055E4" w:rsidRDefault="00ED539A" w:rsidP="00ED539A">
            <w:pPr>
              <w:jc w:val="right"/>
              <w:rPr>
                <w:rFonts w:ascii="Arial" w:hAnsi="Arial" w:cs="Arial"/>
                <w:sz w:val="18"/>
                <w:szCs w:val="18"/>
              </w:rPr>
            </w:pPr>
            <w:r w:rsidRPr="00ED539A">
              <w:rPr>
                <w:rFonts w:ascii="Arial" w:hAnsi="Arial" w:cs="Arial"/>
                <w:i/>
                <w:sz w:val="18"/>
                <w:szCs w:val="18"/>
              </w:rPr>
              <w:t>(REVISED)</w:t>
            </w:r>
          </w:p>
        </w:tc>
      </w:tr>
    </w:tbl>
    <w:p w:rsidR="00501AF3" w:rsidRPr="00AA4D56" w:rsidRDefault="00501AF3">
      <w:pPr>
        <w:pStyle w:val="Heading1"/>
        <w:rPr>
          <w:rFonts w:asciiTheme="minorHAnsi" w:hAnsiTheme="minorHAnsi"/>
          <w:sz w:val="22"/>
          <w:szCs w:val="22"/>
        </w:rPr>
      </w:pPr>
    </w:p>
    <w:p w:rsidR="00B972CF" w:rsidRPr="00EA1DAF" w:rsidRDefault="00103D2B" w:rsidP="00B972CF">
      <w:pPr>
        <w:jc w:val="center"/>
        <w:rPr>
          <w:rFonts w:asciiTheme="minorHAnsi" w:hAnsiTheme="minorHAnsi"/>
          <w:b/>
          <w:bCs/>
          <w:sz w:val="28"/>
          <w:szCs w:val="22"/>
        </w:rPr>
      </w:pPr>
      <w:r w:rsidRPr="00EA1DAF">
        <w:rPr>
          <w:rFonts w:asciiTheme="minorHAnsi" w:hAnsiTheme="minorHAnsi"/>
          <w:b/>
          <w:bCs/>
          <w:sz w:val="28"/>
          <w:szCs w:val="22"/>
        </w:rPr>
        <w:t>President Obama proposes $4</w:t>
      </w:r>
      <w:r w:rsidR="00ED539A" w:rsidRPr="00EA1DAF">
        <w:rPr>
          <w:rFonts w:asciiTheme="minorHAnsi" w:hAnsiTheme="minorHAnsi"/>
          <w:b/>
          <w:bCs/>
          <w:sz w:val="28"/>
          <w:szCs w:val="22"/>
        </w:rPr>
        <w:t xml:space="preserve">18 </w:t>
      </w:r>
      <w:r w:rsidRPr="00EA1DAF">
        <w:rPr>
          <w:rFonts w:asciiTheme="minorHAnsi" w:hAnsiTheme="minorHAnsi"/>
          <w:b/>
          <w:bCs/>
          <w:sz w:val="28"/>
          <w:szCs w:val="22"/>
        </w:rPr>
        <w:t>million increase</w:t>
      </w:r>
      <w:r w:rsidR="00B972CF" w:rsidRPr="00EA1DAF">
        <w:rPr>
          <w:rFonts w:asciiTheme="minorHAnsi" w:hAnsiTheme="minorHAnsi"/>
          <w:b/>
          <w:bCs/>
          <w:sz w:val="28"/>
          <w:szCs w:val="22"/>
        </w:rPr>
        <w:t xml:space="preserve"> </w:t>
      </w:r>
      <w:r w:rsidR="00F75E61" w:rsidRPr="00EA1DAF">
        <w:rPr>
          <w:rFonts w:asciiTheme="minorHAnsi" w:hAnsiTheme="minorHAnsi"/>
          <w:b/>
          <w:bCs/>
          <w:sz w:val="28"/>
          <w:szCs w:val="22"/>
        </w:rPr>
        <w:t>for</w:t>
      </w:r>
    </w:p>
    <w:p w:rsidR="00103D2B" w:rsidRPr="00B972CF" w:rsidRDefault="00FA5156" w:rsidP="00B972CF">
      <w:pPr>
        <w:jc w:val="center"/>
        <w:rPr>
          <w:rFonts w:asciiTheme="minorHAnsi" w:hAnsiTheme="minorHAnsi"/>
          <w:b/>
          <w:bCs/>
          <w:sz w:val="32"/>
          <w:szCs w:val="22"/>
        </w:rPr>
      </w:pPr>
      <w:r>
        <w:rPr>
          <w:rFonts w:asciiTheme="minorHAnsi" w:hAnsiTheme="minorHAnsi"/>
          <w:b/>
          <w:bCs/>
          <w:noProof/>
          <w:sz w:val="32"/>
          <w:szCs w:val="22"/>
        </w:rPr>
        <w:pict>
          <v:shapetype id="_x0000_t202" coordsize="21600,21600" o:spt="202" path="m,l,21600r21600,l21600,xe">
            <v:stroke joinstyle="miter"/>
            <v:path gradientshapeok="t" o:connecttype="rect"/>
          </v:shapetype>
          <v:shape id="_x0000_s1044" type="#_x0000_t202" style="position:absolute;left:0;text-align:left;margin-left:15.3pt;margin-top:27.7pt;width:461.8pt;height:81.2pt;z-index:251664384;mso-width-relative:margin;mso-height-relative:margin" strokeweight="1.5pt">
            <v:textbox style="mso-next-textbox:#_x0000_s1044">
              <w:txbxContent>
                <w:p w:rsidR="00EA1DAF" w:rsidRDefault="00EA1DAF" w:rsidP="00EA1DAF">
                  <w:pPr>
                    <w:spacing w:line="240" w:lineRule="exact"/>
                    <w:jc w:val="both"/>
                    <w:rPr>
                      <w:rFonts w:asciiTheme="minorHAnsi" w:hAnsiTheme="minorHAnsi"/>
                      <w:sz w:val="18"/>
                      <w:szCs w:val="22"/>
                    </w:rPr>
                  </w:pPr>
                  <w:r w:rsidRPr="003A0A44">
                    <w:rPr>
                      <w:rFonts w:asciiTheme="minorHAnsi" w:hAnsiTheme="minorHAnsi"/>
                      <w:b/>
                      <w:bCs/>
                      <w:sz w:val="18"/>
                      <w:szCs w:val="22"/>
                    </w:rPr>
                    <w:t xml:space="preserve">“Expands Access to health Care for American </w:t>
                  </w:r>
                  <w:r>
                    <w:rPr>
                      <w:rFonts w:asciiTheme="minorHAnsi" w:hAnsiTheme="minorHAnsi"/>
                      <w:b/>
                      <w:bCs/>
                      <w:sz w:val="18"/>
                      <w:szCs w:val="22"/>
                    </w:rPr>
                    <w:t>I</w:t>
                  </w:r>
                  <w:r w:rsidRPr="003A0A44">
                    <w:rPr>
                      <w:rFonts w:asciiTheme="minorHAnsi" w:hAnsiTheme="minorHAnsi"/>
                      <w:b/>
                      <w:bCs/>
                      <w:sz w:val="18"/>
                      <w:szCs w:val="22"/>
                    </w:rPr>
                    <w:t xml:space="preserve">ndians and Alaska Natives </w:t>
                  </w:r>
                  <w:r>
                    <w:rPr>
                      <w:rFonts w:asciiTheme="minorHAnsi" w:hAnsiTheme="minorHAnsi"/>
                      <w:b/>
                      <w:bCs/>
                      <w:sz w:val="18"/>
                      <w:szCs w:val="22"/>
                    </w:rPr>
                    <w:t xml:space="preserve"> - </w:t>
                  </w:r>
                  <w:r w:rsidRPr="003A0A44">
                    <w:rPr>
                      <w:rFonts w:asciiTheme="minorHAnsi" w:hAnsiTheme="minorHAnsi"/>
                      <w:sz w:val="18"/>
                      <w:szCs w:val="22"/>
                    </w:rPr>
                    <w:t>The Budget includes over $4 billion for the Indian Health Service (IHS) to support and expand the provision of health care services and public health programs for AI/ANs. Investments in the Indian health focus on improving the health outcomes of AI/ANs and promoting healthy Indian communities. The President’s Budget builds upon resources provided in the recovery Act for IHS.”</w:t>
                  </w:r>
                  <w:r>
                    <w:rPr>
                      <w:rFonts w:asciiTheme="minorHAnsi" w:hAnsiTheme="minorHAnsi"/>
                      <w:sz w:val="18"/>
                      <w:szCs w:val="22"/>
                    </w:rPr>
                    <w:t xml:space="preserve"> </w:t>
                  </w:r>
                </w:p>
                <w:p w:rsidR="00EA1DAF" w:rsidRPr="00B972CF" w:rsidRDefault="00EA1DAF" w:rsidP="00EA1DAF">
                  <w:pPr>
                    <w:spacing w:line="240" w:lineRule="exact"/>
                    <w:jc w:val="right"/>
                    <w:rPr>
                      <w:rFonts w:asciiTheme="minorHAnsi" w:hAnsiTheme="minorHAnsi"/>
                      <w:i/>
                      <w:sz w:val="18"/>
                      <w:szCs w:val="22"/>
                    </w:rPr>
                  </w:pPr>
                  <w:r w:rsidRPr="00B972CF">
                    <w:rPr>
                      <w:rFonts w:asciiTheme="minorHAnsi" w:hAnsiTheme="minorHAnsi"/>
                      <w:i/>
                      <w:sz w:val="18"/>
                      <w:szCs w:val="22"/>
                    </w:rPr>
                    <w:t xml:space="preserve">President Barack Obama’s </w:t>
                  </w:r>
                </w:p>
                <w:p w:rsidR="00EA1DAF" w:rsidRPr="00B972CF" w:rsidRDefault="00EA1DAF" w:rsidP="00EA1DAF">
                  <w:pPr>
                    <w:spacing w:line="240" w:lineRule="exact"/>
                    <w:jc w:val="right"/>
                    <w:rPr>
                      <w:rFonts w:asciiTheme="minorHAnsi" w:hAnsiTheme="minorHAnsi"/>
                      <w:i/>
                      <w:sz w:val="18"/>
                      <w:szCs w:val="22"/>
                    </w:rPr>
                  </w:pPr>
                  <w:r w:rsidRPr="00B972CF">
                    <w:rPr>
                      <w:rFonts w:asciiTheme="minorHAnsi" w:hAnsiTheme="minorHAnsi"/>
                      <w:i/>
                      <w:sz w:val="18"/>
                      <w:szCs w:val="22"/>
                    </w:rPr>
                    <w:t xml:space="preserve">HHS Budget Blueprint </w:t>
                  </w:r>
                </w:p>
                <w:p w:rsidR="00EA1DAF" w:rsidRDefault="00EA1DAF" w:rsidP="00EA1DAF"/>
              </w:txbxContent>
            </v:textbox>
            <w10:wrap type="square"/>
          </v:shape>
        </w:pict>
      </w:r>
      <w:r w:rsidR="00103D2B" w:rsidRPr="00EA1DAF">
        <w:rPr>
          <w:rFonts w:asciiTheme="minorHAnsi" w:hAnsiTheme="minorHAnsi"/>
          <w:b/>
          <w:bCs/>
          <w:sz w:val="28"/>
          <w:szCs w:val="22"/>
        </w:rPr>
        <w:t xml:space="preserve">Indian Health Service </w:t>
      </w:r>
      <w:r w:rsidR="00F75E61" w:rsidRPr="00EA1DAF">
        <w:rPr>
          <w:rFonts w:asciiTheme="minorHAnsi" w:hAnsiTheme="minorHAnsi"/>
          <w:b/>
          <w:bCs/>
          <w:sz w:val="28"/>
          <w:szCs w:val="22"/>
        </w:rPr>
        <w:t xml:space="preserve">and Tribal health </w:t>
      </w:r>
      <w:r w:rsidR="00103D2B" w:rsidRPr="00EA1DAF">
        <w:rPr>
          <w:rFonts w:asciiTheme="minorHAnsi" w:hAnsiTheme="minorHAnsi"/>
          <w:b/>
          <w:bCs/>
          <w:sz w:val="28"/>
          <w:szCs w:val="22"/>
        </w:rPr>
        <w:t>programs</w:t>
      </w:r>
      <w:r w:rsidR="00D95E81" w:rsidRPr="00EA1DAF">
        <w:rPr>
          <w:rFonts w:asciiTheme="minorHAnsi" w:hAnsiTheme="minorHAnsi"/>
          <w:b/>
          <w:bCs/>
          <w:sz w:val="28"/>
          <w:szCs w:val="22"/>
        </w:rPr>
        <w:t xml:space="preserve"> </w:t>
      </w:r>
    </w:p>
    <w:p w:rsidR="00C63DC1" w:rsidRDefault="00C63DC1" w:rsidP="00287ED9">
      <w:pPr>
        <w:jc w:val="center"/>
        <w:rPr>
          <w:rFonts w:asciiTheme="minorHAnsi" w:hAnsiTheme="minorHAnsi"/>
          <w:b/>
          <w:bCs/>
          <w:sz w:val="22"/>
          <w:szCs w:val="22"/>
        </w:rPr>
      </w:pPr>
    </w:p>
    <w:p w:rsidR="00EC3A95" w:rsidRPr="00EA1DAF" w:rsidRDefault="00D50196" w:rsidP="00CC053F">
      <w:pPr>
        <w:spacing w:line="300" w:lineRule="exact"/>
        <w:rPr>
          <w:rFonts w:asciiTheme="minorHAnsi" w:hAnsiTheme="minorHAnsi"/>
          <w:sz w:val="20"/>
          <w:szCs w:val="20"/>
        </w:rPr>
      </w:pPr>
      <w:r>
        <w:rPr>
          <w:rFonts w:asciiTheme="minorHAnsi" w:hAnsiTheme="minorHAnsi"/>
          <w:noProof/>
          <w:sz w:val="20"/>
          <w:szCs w:val="20"/>
        </w:rPr>
        <w:drawing>
          <wp:anchor distT="0" distB="0" distL="114300" distR="114300" simplePos="0" relativeHeight="251665408" behindDoc="0" locked="1" layoutInCell="1" allowOverlap="1">
            <wp:simplePos x="0" y="0"/>
            <wp:positionH relativeFrom="column">
              <wp:posOffset>533400</wp:posOffset>
            </wp:positionH>
            <wp:positionV relativeFrom="paragraph">
              <wp:posOffset>2239010</wp:posOffset>
            </wp:positionV>
            <wp:extent cx="4162425" cy="2390775"/>
            <wp:effectExtent l="1905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162425" cy="2390775"/>
                    </a:xfrm>
                    <a:prstGeom prst="rect">
                      <a:avLst/>
                    </a:prstGeom>
                    <a:noFill/>
                    <a:ln w="9525">
                      <a:noFill/>
                      <a:miter lim="800000"/>
                      <a:headEnd/>
                      <a:tailEnd/>
                    </a:ln>
                  </pic:spPr>
                </pic:pic>
              </a:graphicData>
            </a:graphic>
          </wp:anchor>
        </w:drawing>
      </w:r>
      <w:r w:rsidR="000D5FB5" w:rsidRPr="00EA1DAF">
        <w:rPr>
          <w:rFonts w:asciiTheme="minorHAnsi" w:hAnsiTheme="minorHAnsi"/>
          <w:sz w:val="20"/>
          <w:szCs w:val="20"/>
        </w:rPr>
        <w:t xml:space="preserve">On February 26, 2009, President Obama </w:t>
      </w:r>
      <w:r w:rsidR="000454AC" w:rsidRPr="00EA1DAF">
        <w:rPr>
          <w:rFonts w:asciiTheme="minorHAnsi" w:hAnsiTheme="minorHAnsi"/>
          <w:sz w:val="20"/>
          <w:szCs w:val="20"/>
        </w:rPr>
        <w:t xml:space="preserve">released </w:t>
      </w:r>
      <w:r w:rsidR="000D5FB5" w:rsidRPr="00EA1DAF">
        <w:rPr>
          <w:rFonts w:asciiTheme="minorHAnsi" w:hAnsiTheme="minorHAnsi"/>
          <w:sz w:val="20"/>
          <w:szCs w:val="20"/>
        </w:rPr>
        <w:t xml:space="preserve">a blueprint </w:t>
      </w:r>
      <w:r w:rsidR="000454AC" w:rsidRPr="00EA1DAF">
        <w:rPr>
          <w:rFonts w:asciiTheme="minorHAnsi" w:hAnsiTheme="minorHAnsi"/>
          <w:sz w:val="20"/>
          <w:szCs w:val="20"/>
        </w:rPr>
        <w:t>of his FY 2010 spending plan, which</w:t>
      </w:r>
      <w:r w:rsidR="00F85290" w:rsidRPr="00EA1DAF">
        <w:rPr>
          <w:rFonts w:asciiTheme="minorHAnsi" w:hAnsiTheme="minorHAnsi"/>
          <w:sz w:val="20"/>
          <w:szCs w:val="20"/>
        </w:rPr>
        <w:t xml:space="preserve"> reportedly provides </w:t>
      </w:r>
      <w:r w:rsidR="00D22101" w:rsidRPr="00EA1DAF">
        <w:rPr>
          <w:rFonts w:asciiTheme="minorHAnsi" w:hAnsiTheme="minorHAnsi"/>
          <w:sz w:val="20"/>
          <w:szCs w:val="20"/>
        </w:rPr>
        <w:t xml:space="preserve">more than </w:t>
      </w:r>
      <w:r w:rsidR="00F85290" w:rsidRPr="00EA1DAF">
        <w:rPr>
          <w:rFonts w:asciiTheme="minorHAnsi" w:hAnsiTheme="minorHAnsi"/>
          <w:sz w:val="20"/>
          <w:szCs w:val="20"/>
        </w:rPr>
        <w:t xml:space="preserve">$4 billion </w:t>
      </w:r>
      <w:r w:rsidR="00D22101" w:rsidRPr="00EA1DAF">
        <w:rPr>
          <w:rFonts w:asciiTheme="minorHAnsi" w:hAnsiTheme="minorHAnsi"/>
          <w:sz w:val="20"/>
          <w:szCs w:val="20"/>
        </w:rPr>
        <w:t xml:space="preserve">for </w:t>
      </w:r>
      <w:r w:rsidR="00F85290" w:rsidRPr="00EA1DAF">
        <w:rPr>
          <w:rFonts w:asciiTheme="minorHAnsi" w:hAnsiTheme="minorHAnsi"/>
          <w:sz w:val="20"/>
          <w:szCs w:val="20"/>
        </w:rPr>
        <w:t>the Indian Health Service (IHS) to e</w:t>
      </w:r>
      <w:r w:rsidR="000454AC" w:rsidRPr="00EA1DAF">
        <w:rPr>
          <w:rFonts w:asciiTheme="minorHAnsi" w:hAnsiTheme="minorHAnsi"/>
          <w:sz w:val="20"/>
          <w:szCs w:val="20"/>
        </w:rPr>
        <w:t>xpand access to health care for American Indian and Alaska Natives (AI/AN)</w:t>
      </w:r>
      <w:r w:rsidR="00F85290" w:rsidRPr="00EA1DAF">
        <w:rPr>
          <w:rFonts w:asciiTheme="minorHAnsi" w:hAnsiTheme="minorHAnsi"/>
          <w:sz w:val="20"/>
          <w:szCs w:val="20"/>
        </w:rPr>
        <w:t xml:space="preserve">.  The full details of the President’s proposed budget are still not available, making it difficult to conduct any type of analysis on his proposal for the IHS.  </w:t>
      </w:r>
      <w:r w:rsidR="00DB4E61" w:rsidRPr="00EA1DAF">
        <w:rPr>
          <w:rFonts w:asciiTheme="minorHAnsi" w:hAnsiTheme="minorHAnsi"/>
          <w:sz w:val="20"/>
          <w:szCs w:val="20"/>
        </w:rPr>
        <w:t xml:space="preserve">Using the FY 2009 omnibus as </w:t>
      </w:r>
      <w:r w:rsidR="00EA1DAF">
        <w:rPr>
          <w:rFonts w:asciiTheme="minorHAnsi" w:hAnsiTheme="minorHAnsi"/>
          <w:sz w:val="20"/>
          <w:szCs w:val="20"/>
        </w:rPr>
        <w:t>a</w:t>
      </w:r>
      <w:r w:rsidR="00DB4E61" w:rsidRPr="00EA1DAF">
        <w:rPr>
          <w:rFonts w:asciiTheme="minorHAnsi" w:hAnsiTheme="minorHAnsi"/>
          <w:sz w:val="20"/>
          <w:szCs w:val="20"/>
        </w:rPr>
        <w:t xml:space="preserve"> baseline </w:t>
      </w:r>
      <w:r w:rsidR="00C70EF9" w:rsidRPr="00EA1DAF">
        <w:rPr>
          <w:rFonts w:asciiTheme="minorHAnsi" w:hAnsiTheme="minorHAnsi"/>
          <w:sz w:val="20"/>
          <w:szCs w:val="20"/>
        </w:rPr>
        <w:t>it’s</w:t>
      </w:r>
      <w:r w:rsidR="00DB4E61" w:rsidRPr="00EA1DAF">
        <w:rPr>
          <w:rFonts w:asciiTheme="minorHAnsi" w:hAnsiTheme="minorHAnsi"/>
          <w:sz w:val="20"/>
          <w:szCs w:val="20"/>
        </w:rPr>
        <w:t xml:space="preserve"> projected that President’s proposed increase for the IHS should be at least </w:t>
      </w:r>
      <w:r w:rsidR="004C6C78" w:rsidRPr="00EA1DAF">
        <w:rPr>
          <w:rFonts w:asciiTheme="minorHAnsi" w:hAnsiTheme="minorHAnsi"/>
          <w:sz w:val="20"/>
          <w:szCs w:val="20"/>
        </w:rPr>
        <w:t>$418 million</w:t>
      </w:r>
      <w:r w:rsidR="00C70EF9" w:rsidRPr="00EA1DAF">
        <w:rPr>
          <w:rFonts w:asciiTheme="minorHAnsi" w:hAnsiTheme="minorHAnsi"/>
          <w:sz w:val="20"/>
          <w:szCs w:val="20"/>
        </w:rPr>
        <w:t xml:space="preserve"> in FY 2010</w:t>
      </w:r>
      <w:r w:rsidR="004C6C78" w:rsidRPr="00EA1DAF">
        <w:rPr>
          <w:rFonts w:asciiTheme="minorHAnsi" w:hAnsiTheme="minorHAnsi"/>
          <w:sz w:val="20"/>
          <w:szCs w:val="20"/>
        </w:rPr>
        <w:t xml:space="preserve">.  </w:t>
      </w:r>
      <w:r w:rsidR="00EC3A95" w:rsidRPr="00EA1DAF">
        <w:rPr>
          <w:rFonts w:asciiTheme="minorHAnsi" w:hAnsiTheme="minorHAnsi"/>
          <w:sz w:val="20"/>
          <w:szCs w:val="20"/>
        </w:rPr>
        <w:t>While this is a very good budget increase for the IHS</w:t>
      </w:r>
      <w:r w:rsidR="00FA6A76" w:rsidRPr="00EA1DAF">
        <w:rPr>
          <w:rFonts w:asciiTheme="minorHAnsi" w:hAnsiTheme="minorHAnsi"/>
          <w:sz w:val="20"/>
          <w:szCs w:val="20"/>
        </w:rPr>
        <w:t>—without</w:t>
      </w:r>
      <w:r w:rsidR="00EC3A95" w:rsidRPr="00EA1DAF">
        <w:rPr>
          <w:rFonts w:asciiTheme="minorHAnsi" w:hAnsiTheme="minorHAnsi"/>
          <w:sz w:val="20"/>
          <w:szCs w:val="20"/>
        </w:rPr>
        <w:t xml:space="preserve"> the full budget details</w:t>
      </w:r>
      <w:r w:rsidR="00FA6A76" w:rsidRPr="00EA1DAF">
        <w:rPr>
          <w:rFonts w:asciiTheme="minorHAnsi" w:hAnsiTheme="minorHAnsi"/>
          <w:sz w:val="20"/>
          <w:szCs w:val="20"/>
        </w:rPr>
        <w:t xml:space="preserve">—it </w:t>
      </w:r>
      <w:r w:rsidR="00EC3A95" w:rsidRPr="00EA1DAF">
        <w:rPr>
          <w:rFonts w:asciiTheme="minorHAnsi" w:hAnsiTheme="minorHAnsi"/>
          <w:sz w:val="20"/>
          <w:szCs w:val="20"/>
        </w:rPr>
        <w:t xml:space="preserve">is not </w:t>
      </w:r>
      <w:r w:rsidR="00EA1DAF">
        <w:rPr>
          <w:rFonts w:asciiTheme="minorHAnsi" w:hAnsiTheme="minorHAnsi"/>
          <w:sz w:val="20"/>
          <w:szCs w:val="20"/>
        </w:rPr>
        <w:t xml:space="preserve">possible to determine if this is a good budget for Indian health programs.  The key to the President’s proposed budget is </w:t>
      </w:r>
      <w:r w:rsidR="00EC3A95" w:rsidRPr="00EA1DAF">
        <w:rPr>
          <w:rFonts w:asciiTheme="minorHAnsi" w:hAnsiTheme="minorHAnsi"/>
          <w:sz w:val="20"/>
          <w:szCs w:val="20"/>
        </w:rPr>
        <w:t xml:space="preserve">whether the request includes third party </w:t>
      </w:r>
      <w:r w:rsidR="004B70F0" w:rsidRPr="00EA1DAF">
        <w:rPr>
          <w:rFonts w:asciiTheme="minorHAnsi" w:hAnsiTheme="minorHAnsi"/>
          <w:sz w:val="20"/>
          <w:szCs w:val="20"/>
        </w:rPr>
        <w:t>r</w:t>
      </w:r>
      <w:r w:rsidR="00EC3A95" w:rsidRPr="00EA1DAF">
        <w:rPr>
          <w:rFonts w:asciiTheme="minorHAnsi" w:hAnsiTheme="minorHAnsi"/>
          <w:sz w:val="20"/>
          <w:szCs w:val="20"/>
        </w:rPr>
        <w:t xml:space="preserve">eimbursements or if funding provided in the American Recovery and Reinvestment Act (ARRA or stimulus) </w:t>
      </w:r>
      <w:r w:rsidR="00EA1DAF">
        <w:rPr>
          <w:rFonts w:asciiTheme="minorHAnsi" w:hAnsiTheme="minorHAnsi"/>
          <w:sz w:val="20"/>
          <w:szCs w:val="20"/>
        </w:rPr>
        <w:t xml:space="preserve">are </w:t>
      </w:r>
      <w:r w:rsidR="00FA6A76" w:rsidRPr="00EA1DAF">
        <w:rPr>
          <w:rFonts w:asciiTheme="minorHAnsi" w:hAnsiTheme="minorHAnsi"/>
          <w:sz w:val="20"/>
          <w:szCs w:val="20"/>
        </w:rPr>
        <w:t>used to</w:t>
      </w:r>
      <w:r w:rsidR="00EC3A95" w:rsidRPr="00EA1DAF">
        <w:rPr>
          <w:rFonts w:asciiTheme="minorHAnsi" w:hAnsiTheme="minorHAnsi"/>
          <w:sz w:val="20"/>
          <w:szCs w:val="20"/>
        </w:rPr>
        <w:t xml:space="preserve"> offset appropriations to the IHS in FY 2010.  </w:t>
      </w:r>
      <w:r w:rsidR="00C70EF9" w:rsidRPr="00EA1DAF">
        <w:rPr>
          <w:rFonts w:asciiTheme="minorHAnsi" w:hAnsiTheme="minorHAnsi"/>
          <w:sz w:val="20"/>
          <w:szCs w:val="20"/>
        </w:rPr>
        <w:t xml:space="preserve">If the President’s proposal includes Medicare or Medicaid </w:t>
      </w:r>
      <w:r w:rsidR="00EA1DAF">
        <w:rPr>
          <w:rFonts w:asciiTheme="minorHAnsi" w:hAnsiTheme="minorHAnsi"/>
          <w:sz w:val="20"/>
          <w:szCs w:val="20"/>
        </w:rPr>
        <w:t xml:space="preserve">collections, the budget may not be as good as everyone may think.  </w:t>
      </w:r>
      <w:r w:rsidR="000A3F8B">
        <w:rPr>
          <w:rFonts w:asciiTheme="minorHAnsi" w:hAnsiTheme="minorHAnsi"/>
          <w:sz w:val="20"/>
          <w:szCs w:val="20"/>
        </w:rPr>
        <w:t xml:space="preserve">If it does not include collections, then President Obama’s request is perhaps the best request for the IHS in the last twenty years.  </w:t>
      </w:r>
    </w:p>
    <w:p w:rsidR="0057191C" w:rsidRDefault="0057191C" w:rsidP="00AA4D56">
      <w:pPr>
        <w:spacing w:line="300" w:lineRule="exact"/>
        <w:rPr>
          <w:rFonts w:asciiTheme="minorHAnsi" w:hAnsiTheme="minorHAnsi"/>
          <w:sz w:val="20"/>
          <w:szCs w:val="20"/>
        </w:rPr>
      </w:pPr>
    </w:p>
    <w:p w:rsidR="00AA4D56" w:rsidRPr="00EA1DAF" w:rsidRDefault="00C70EF9" w:rsidP="00AA4D56">
      <w:pPr>
        <w:spacing w:line="300" w:lineRule="exact"/>
        <w:rPr>
          <w:rFonts w:asciiTheme="minorHAnsi" w:hAnsiTheme="minorHAnsi"/>
          <w:sz w:val="20"/>
          <w:szCs w:val="20"/>
        </w:rPr>
      </w:pPr>
      <w:r w:rsidRPr="00EA1DAF">
        <w:rPr>
          <w:rFonts w:asciiTheme="minorHAnsi" w:hAnsiTheme="minorHAnsi"/>
          <w:noProof/>
          <w:sz w:val="20"/>
          <w:szCs w:val="20"/>
        </w:rPr>
        <w:drawing>
          <wp:anchor distT="0" distB="0" distL="114300" distR="114300" simplePos="0" relativeHeight="251661312" behindDoc="0" locked="1" layoutInCell="1" allowOverlap="1">
            <wp:simplePos x="0" y="0"/>
            <wp:positionH relativeFrom="column">
              <wp:posOffset>4619625</wp:posOffset>
            </wp:positionH>
            <wp:positionV relativeFrom="paragraph">
              <wp:posOffset>-2571750</wp:posOffset>
            </wp:positionV>
            <wp:extent cx="838200" cy="2286000"/>
            <wp:effectExtent l="19050" t="0" r="0" b="0"/>
            <wp:wrapTopAndBottom/>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838200" cy="2286000"/>
                    </a:xfrm>
                    <a:prstGeom prst="rect">
                      <a:avLst/>
                    </a:prstGeom>
                    <a:noFill/>
                    <a:ln w="9525">
                      <a:noFill/>
                      <a:miter lim="800000"/>
                      <a:headEnd/>
                      <a:tailEnd/>
                    </a:ln>
                  </pic:spPr>
                </pic:pic>
              </a:graphicData>
            </a:graphic>
          </wp:anchor>
        </w:drawing>
      </w:r>
      <w:r w:rsidR="00A4405C" w:rsidRPr="00EA1DAF">
        <w:rPr>
          <w:rFonts w:asciiTheme="minorHAnsi" w:hAnsiTheme="minorHAnsi"/>
          <w:sz w:val="20"/>
          <w:szCs w:val="20"/>
        </w:rPr>
        <w:t>The FY 2009 omnibus provides $3.58 billion for IHS and Tribal health programs however will fall short of the estimated $</w:t>
      </w:r>
      <w:r w:rsidR="0015483E">
        <w:rPr>
          <w:rFonts w:asciiTheme="minorHAnsi" w:hAnsiTheme="minorHAnsi"/>
          <w:sz w:val="20"/>
          <w:szCs w:val="20"/>
        </w:rPr>
        <w:t>278</w:t>
      </w:r>
      <w:r w:rsidR="00D8271F" w:rsidRPr="00EA1DAF">
        <w:rPr>
          <w:rFonts w:asciiTheme="minorHAnsi" w:hAnsiTheme="minorHAnsi"/>
          <w:sz w:val="20"/>
          <w:szCs w:val="20"/>
        </w:rPr>
        <w:t xml:space="preserve"> </w:t>
      </w:r>
      <w:r w:rsidR="006B766C" w:rsidRPr="00EA1DAF">
        <w:rPr>
          <w:rFonts w:asciiTheme="minorHAnsi" w:hAnsiTheme="minorHAnsi"/>
          <w:sz w:val="20"/>
          <w:szCs w:val="20"/>
        </w:rPr>
        <w:t xml:space="preserve">million </w:t>
      </w:r>
      <w:r w:rsidR="00D8271F" w:rsidRPr="00EA1DAF">
        <w:rPr>
          <w:rFonts w:asciiTheme="minorHAnsi" w:hAnsiTheme="minorHAnsi"/>
          <w:sz w:val="20"/>
          <w:szCs w:val="20"/>
        </w:rPr>
        <w:t xml:space="preserve">needed to maintain current services.  </w:t>
      </w:r>
      <w:r w:rsidR="00FA6A76" w:rsidRPr="00EA1DAF">
        <w:rPr>
          <w:rFonts w:asciiTheme="minorHAnsi" w:hAnsiTheme="minorHAnsi"/>
          <w:sz w:val="20"/>
          <w:szCs w:val="20"/>
        </w:rPr>
        <w:t>Funding to maintain current services over the last eight years ha</w:t>
      </w:r>
      <w:r w:rsidR="008836CE" w:rsidRPr="00EA1DAF">
        <w:rPr>
          <w:rFonts w:asciiTheme="minorHAnsi" w:hAnsiTheme="minorHAnsi"/>
          <w:sz w:val="20"/>
          <w:szCs w:val="20"/>
        </w:rPr>
        <w:t>s</w:t>
      </w:r>
      <w:r w:rsidR="00FA6A76" w:rsidRPr="00EA1DAF">
        <w:rPr>
          <w:rFonts w:asciiTheme="minorHAnsi" w:hAnsiTheme="minorHAnsi"/>
          <w:sz w:val="20"/>
          <w:szCs w:val="20"/>
        </w:rPr>
        <w:t xml:space="preserve"> not kept pace with </w:t>
      </w:r>
      <w:r w:rsidR="008836CE" w:rsidRPr="00EA1DAF">
        <w:rPr>
          <w:rFonts w:asciiTheme="minorHAnsi" w:hAnsiTheme="minorHAnsi"/>
          <w:sz w:val="20"/>
          <w:szCs w:val="20"/>
        </w:rPr>
        <w:t xml:space="preserve">medical services </w:t>
      </w:r>
      <w:r w:rsidR="00FA6A76" w:rsidRPr="00EA1DAF">
        <w:rPr>
          <w:rFonts w:asciiTheme="minorHAnsi" w:hAnsiTheme="minorHAnsi"/>
          <w:sz w:val="20"/>
          <w:szCs w:val="20"/>
        </w:rPr>
        <w:t xml:space="preserve">inflation, pay act increases, population growth, </w:t>
      </w:r>
      <w:r w:rsidR="008836CE" w:rsidRPr="00EA1DAF">
        <w:rPr>
          <w:rFonts w:asciiTheme="minorHAnsi" w:hAnsiTheme="minorHAnsi"/>
          <w:sz w:val="20"/>
          <w:szCs w:val="20"/>
        </w:rPr>
        <w:t xml:space="preserve">or </w:t>
      </w:r>
      <w:r w:rsidR="00FA6A76" w:rsidRPr="00EA1DAF">
        <w:rPr>
          <w:rFonts w:asciiTheme="minorHAnsi" w:hAnsiTheme="minorHAnsi"/>
          <w:sz w:val="20"/>
          <w:szCs w:val="20"/>
        </w:rPr>
        <w:t xml:space="preserve">contract support cost funds needed to operate health programs.  As a result, Tribes have either had to cut health services or use tribal funds to absorb these </w:t>
      </w:r>
      <w:r w:rsidR="00FA6A76" w:rsidRPr="00EA1DAF">
        <w:rPr>
          <w:rFonts w:asciiTheme="minorHAnsi" w:hAnsiTheme="minorHAnsi"/>
          <w:sz w:val="20"/>
          <w:szCs w:val="20"/>
        </w:rPr>
        <w:lastRenderedPageBreak/>
        <w:t xml:space="preserve">mandatory costs.  </w:t>
      </w:r>
      <w:r w:rsidR="008836CE" w:rsidRPr="00EA1DAF">
        <w:rPr>
          <w:rFonts w:asciiTheme="minorHAnsi" w:hAnsiTheme="minorHAnsi"/>
          <w:sz w:val="20"/>
          <w:szCs w:val="20"/>
        </w:rPr>
        <w:t xml:space="preserve">It is estimated that the IHS has lost </w:t>
      </w:r>
      <w:r w:rsidR="0057702E" w:rsidRPr="00EA1DAF">
        <w:rPr>
          <w:rFonts w:asciiTheme="minorHAnsi" w:hAnsiTheme="minorHAnsi"/>
          <w:sz w:val="20"/>
          <w:szCs w:val="20"/>
        </w:rPr>
        <w:t xml:space="preserve">over </w:t>
      </w:r>
      <w:r w:rsidR="008836CE" w:rsidRPr="00EA1DAF">
        <w:rPr>
          <w:rFonts w:asciiTheme="minorHAnsi" w:hAnsiTheme="minorHAnsi"/>
          <w:sz w:val="20"/>
          <w:szCs w:val="20"/>
        </w:rPr>
        <w:t>$</w:t>
      </w:r>
      <w:r w:rsidR="0057702E" w:rsidRPr="00EA1DAF">
        <w:rPr>
          <w:rFonts w:asciiTheme="minorHAnsi" w:hAnsiTheme="minorHAnsi"/>
          <w:sz w:val="20"/>
          <w:szCs w:val="20"/>
        </w:rPr>
        <w:t xml:space="preserve">711 million </w:t>
      </w:r>
      <w:r w:rsidR="008836CE" w:rsidRPr="00EA1DAF">
        <w:rPr>
          <w:rFonts w:asciiTheme="minorHAnsi" w:hAnsiTheme="minorHAnsi"/>
          <w:sz w:val="20"/>
          <w:szCs w:val="20"/>
        </w:rPr>
        <w:t>in unfunded inflation</w:t>
      </w:r>
      <w:r w:rsidR="0057702E" w:rsidRPr="00EA1DAF">
        <w:rPr>
          <w:rFonts w:asciiTheme="minorHAnsi" w:hAnsiTheme="minorHAnsi"/>
          <w:sz w:val="20"/>
          <w:szCs w:val="20"/>
        </w:rPr>
        <w:t xml:space="preserve"> and population growth</w:t>
      </w:r>
      <w:r w:rsidR="008836CE" w:rsidRPr="00EA1DAF">
        <w:rPr>
          <w:rFonts w:asciiTheme="minorHAnsi" w:hAnsiTheme="minorHAnsi"/>
          <w:sz w:val="20"/>
          <w:szCs w:val="20"/>
        </w:rPr>
        <w:t xml:space="preserve"> over the last eight years.  </w:t>
      </w:r>
    </w:p>
    <w:p w:rsidR="00BE44E1" w:rsidRPr="00EA1DAF" w:rsidRDefault="00BE44E1" w:rsidP="00AA4D56">
      <w:pPr>
        <w:spacing w:line="300" w:lineRule="exact"/>
        <w:rPr>
          <w:rFonts w:asciiTheme="minorHAnsi" w:hAnsiTheme="minorHAnsi"/>
          <w:sz w:val="20"/>
          <w:szCs w:val="20"/>
        </w:rPr>
      </w:pPr>
    </w:p>
    <w:p w:rsidR="00BE44E1" w:rsidRPr="00EA1DAF" w:rsidRDefault="00BE44E1" w:rsidP="00AA4D56">
      <w:pPr>
        <w:spacing w:line="300" w:lineRule="exact"/>
        <w:rPr>
          <w:rFonts w:asciiTheme="minorHAnsi" w:hAnsiTheme="minorHAnsi"/>
          <w:sz w:val="20"/>
          <w:szCs w:val="20"/>
        </w:rPr>
      </w:pPr>
      <w:r w:rsidRPr="00EA1DAF">
        <w:rPr>
          <w:rFonts w:asciiTheme="minorHAnsi" w:hAnsiTheme="minorHAnsi"/>
          <w:sz w:val="20"/>
          <w:szCs w:val="20"/>
          <w:u w:val="single"/>
        </w:rPr>
        <w:t>Recommendation</w:t>
      </w:r>
      <w:r w:rsidRPr="00EA1DAF">
        <w:rPr>
          <w:rFonts w:asciiTheme="minorHAnsi" w:hAnsiTheme="minorHAnsi"/>
          <w:sz w:val="20"/>
          <w:szCs w:val="20"/>
        </w:rPr>
        <w:t xml:space="preserve">:  The President and Congress </w:t>
      </w:r>
      <w:r w:rsidR="00855ABE" w:rsidRPr="00EA1DAF">
        <w:rPr>
          <w:rFonts w:asciiTheme="minorHAnsi" w:hAnsiTheme="minorHAnsi"/>
          <w:sz w:val="20"/>
          <w:szCs w:val="20"/>
        </w:rPr>
        <w:t>should reco</w:t>
      </w:r>
      <w:r w:rsidRPr="00EA1DAF">
        <w:rPr>
          <w:rFonts w:asciiTheme="minorHAnsi" w:hAnsiTheme="minorHAnsi"/>
          <w:sz w:val="20"/>
          <w:szCs w:val="20"/>
        </w:rPr>
        <w:t xml:space="preserve">gnize the fact that the IHS budget has lost significant purchasing power over the last eight years and work to restore this lost funding.  </w:t>
      </w:r>
    </w:p>
    <w:p w:rsidR="00BE44E1" w:rsidRPr="00EA1DAF" w:rsidRDefault="00BE44E1" w:rsidP="00AA4D56">
      <w:pPr>
        <w:spacing w:line="300" w:lineRule="exact"/>
        <w:rPr>
          <w:rFonts w:asciiTheme="minorHAnsi" w:hAnsiTheme="minorHAnsi"/>
          <w:sz w:val="20"/>
          <w:szCs w:val="20"/>
        </w:rPr>
      </w:pPr>
    </w:p>
    <w:p w:rsidR="00BE44E1" w:rsidRPr="00EA1DAF" w:rsidRDefault="00BE44E1" w:rsidP="00713923">
      <w:pPr>
        <w:spacing w:after="120" w:line="300" w:lineRule="exact"/>
        <w:rPr>
          <w:rFonts w:asciiTheme="minorHAnsi" w:hAnsiTheme="minorHAnsi"/>
          <w:b/>
          <w:i/>
          <w:szCs w:val="20"/>
        </w:rPr>
      </w:pPr>
      <w:r w:rsidRPr="00EA1DAF">
        <w:rPr>
          <w:rFonts w:asciiTheme="minorHAnsi" w:hAnsiTheme="minorHAnsi"/>
          <w:b/>
          <w:i/>
          <w:szCs w:val="20"/>
        </w:rPr>
        <w:t xml:space="preserve">Facilities and Economic Stimulus </w:t>
      </w:r>
      <w:r w:rsidR="00713923" w:rsidRPr="00EA1DAF">
        <w:rPr>
          <w:rFonts w:asciiTheme="minorHAnsi" w:hAnsiTheme="minorHAnsi"/>
          <w:b/>
          <w:i/>
          <w:szCs w:val="20"/>
        </w:rPr>
        <w:t xml:space="preserve">Funding </w:t>
      </w:r>
    </w:p>
    <w:p w:rsidR="00BE44E1" w:rsidRPr="00EA1DAF" w:rsidRDefault="0090763B" w:rsidP="00AA4D56">
      <w:pPr>
        <w:spacing w:line="300" w:lineRule="exact"/>
        <w:rPr>
          <w:rFonts w:asciiTheme="minorHAnsi" w:hAnsiTheme="minorHAnsi"/>
          <w:sz w:val="20"/>
          <w:szCs w:val="20"/>
        </w:rPr>
      </w:pPr>
      <w:r>
        <w:rPr>
          <w:rFonts w:asciiTheme="minorHAnsi" w:hAnsiTheme="minorHAnsi"/>
          <w:noProof/>
          <w:sz w:val="20"/>
          <w:szCs w:val="20"/>
        </w:rPr>
        <w:drawing>
          <wp:anchor distT="0" distB="0" distL="114300" distR="114300" simplePos="0" relativeHeight="251663360" behindDoc="1" locked="0" layoutInCell="1" allowOverlap="1">
            <wp:simplePos x="0" y="0"/>
            <wp:positionH relativeFrom="column">
              <wp:posOffset>828675</wp:posOffset>
            </wp:positionH>
            <wp:positionV relativeFrom="paragraph">
              <wp:posOffset>2066925</wp:posOffset>
            </wp:positionV>
            <wp:extent cx="4448175" cy="2009775"/>
            <wp:effectExtent l="19050" t="0" r="9525" b="0"/>
            <wp:wrapTopAndBottom/>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4448175" cy="2009775"/>
                    </a:xfrm>
                    <a:prstGeom prst="rect">
                      <a:avLst/>
                    </a:prstGeom>
                    <a:noFill/>
                    <a:ln w="9525">
                      <a:noFill/>
                      <a:miter lim="800000"/>
                      <a:headEnd/>
                      <a:tailEnd/>
                    </a:ln>
                  </pic:spPr>
                </pic:pic>
              </a:graphicData>
            </a:graphic>
          </wp:anchor>
        </w:drawing>
      </w:r>
      <w:r w:rsidR="00BE44E1" w:rsidRPr="00EA1DAF">
        <w:rPr>
          <w:rFonts w:asciiTheme="minorHAnsi" w:hAnsiTheme="minorHAnsi"/>
          <w:sz w:val="20"/>
          <w:szCs w:val="20"/>
        </w:rPr>
        <w:t>A</w:t>
      </w:r>
      <w:r w:rsidR="00E06C9A">
        <w:rPr>
          <w:rFonts w:asciiTheme="minorHAnsi" w:hAnsiTheme="minorHAnsi"/>
          <w:sz w:val="20"/>
          <w:szCs w:val="20"/>
        </w:rPr>
        <w:t xml:space="preserve"> </w:t>
      </w:r>
      <w:r w:rsidR="00BE44E1" w:rsidRPr="00EA1DAF">
        <w:rPr>
          <w:rFonts w:asciiTheme="minorHAnsi" w:hAnsiTheme="minorHAnsi"/>
          <w:sz w:val="20"/>
          <w:szCs w:val="20"/>
        </w:rPr>
        <w:t>concern for Northwest Tribes is that the economic stimulus bill passed by Congress include</w:t>
      </w:r>
      <w:r w:rsidR="00E06C9A">
        <w:rPr>
          <w:rFonts w:asciiTheme="minorHAnsi" w:hAnsiTheme="minorHAnsi"/>
          <w:sz w:val="20"/>
          <w:szCs w:val="20"/>
        </w:rPr>
        <w:t>d</w:t>
      </w:r>
      <w:r w:rsidR="00BE44E1" w:rsidRPr="00EA1DAF">
        <w:rPr>
          <w:rFonts w:asciiTheme="minorHAnsi" w:hAnsiTheme="minorHAnsi"/>
          <w:sz w:val="20"/>
          <w:szCs w:val="20"/>
        </w:rPr>
        <w:t xml:space="preserve"> $227 million for</w:t>
      </w:r>
      <w:r w:rsidR="00E06C9A">
        <w:rPr>
          <w:rFonts w:asciiTheme="minorHAnsi" w:hAnsiTheme="minorHAnsi"/>
          <w:sz w:val="20"/>
          <w:szCs w:val="20"/>
        </w:rPr>
        <w:t xml:space="preserve"> only</w:t>
      </w:r>
      <w:r w:rsidR="00BE44E1" w:rsidRPr="00EA1DAF">
        <w:rPr>
          <w:rFonts w:asciiTheme="minorHAnsi" w:hAnsiTheme="minorHAnsi"/>
          <w:sz w:val="20"/>
          <w:szCs w:val="20"/>
        </w:rPr>
        <w:t xml:space="preserve"> two facility construction projects located in two states.  Tribes are concerned that when Congress passed ARRA it intended to stimulate economies across the United States and Indian Country.  Northwest Tribal leaders are dismayed by the fact </w:t>
      </w:r>
      <w:r w:rsidR="00E06C9A">
        <w:rPr>
          <w:rFonts w:asciiTheme="minorHAnsi" w:hAnsiTheme="minorHAnsi"/>
          <w:sz w:val="20"/>
          <w:szCs w:val="20"/>
        </w:rPr>
        <w:t xml:space="preserve">that </w:t>
      </w:r>
      <w:r w:rsidR="00BE44E1" w:rsidRPr="00EA1DAF">
        <w:rPr>
          <w:rFonts w:asciiTheme="minorHAnsi" w:hAnsiTheme="minorHAnsi"/>
          <w:sz w:val="20"/>
          <w:szCs w:val="20"/>
        </w:rPr>
        <w:t>over 50 percent of the economic stimulus funds provided for facilities construction only went to fund two projects.  Because funding for these construction projects came outside of the IHS appropriation, NPAIHB recommends that Congress provide the IHS with a special appropriation to phase in staffing at these new facilities</w:t>
      </w:r>
      <w:r w:rsidR="00E06C9A">
        <w:rPr>
          <w:rFonts w:asciiTheme="minorHAnsi" w:hAnsiTheme="minorHAnsi"/>
          <w:sz w:val="20"/>
          <w:szCs w:val="20"/>
        </w:rPr>
        <w:t xml:space="preserve">.  </w:t>
      </w:r>
      <w:r w:rsidR="00BE44E1" w:rsidRPr="00EA1DAF">
        <w:rPr>
          <w:rFonts w:asciiTheme="minorHAnsi" w:hAnsiTheme="minorHAnsi"/>
          <w:sz w:val="20"/>
          <w:szCs w:val="20"/>
        </w:rPr>
        <w:t xml:space="preserve">Otherwise, Tribes nationally will be penalized twice by the impact of the economic stimulus fund provided for </w:t>
      </w:r>
      <w:r w:rsidR="00E06C9A">
        <w:rPr>
          <w:rFonts w:asciiTheme="minorHAnsi" w:hAnsiTheme="minorHAnsi"/>
          <w:sz w:val="20"/>
          <w:szCs w:val="20"/>
        </w:rPr>
        <w:t xml:space="preserve">these two </w:t>
      </w:r>
      <w:r w:rsidR="00BE44E1" w:rsidRPr="00EA1DAF">
        <w:rPr>
          <w:rFonts w:asciiTheme="minorHAnsi" w:hAnsiTheme="minorHAnsi"/>
          <w:sz w:val="20"/>
          <w:szCs w:val="20"/>
        </w:rPr>
        <w:t>facilities construction</w:t>
      </w:r>
      <w:r w:rsidR="00E06C9A">
        <w:rPr>
          <w:rFonts w:asciiTheme="minorHAnsi" w:hAnsiTheme="minorHAnsi"/>
          <w:sz w:val="20"/>
          <w:szCs w:val="20"/>
        </w:rPr>
        <w:t xml:space="preserve"> projects</w:t>
      </w:r>
      <w:r w:rsidR="00BE44E1" w:rsidRPr="00EA1DAF">
        <w:rPr>
          <w:rFonts w:asciiTheme="minorHAnsi" w:hAnsiTheme="minorHAnsi"/>
          <w:sz w:val="20"/>
          <w:szCs w:val="20"/>
        </w:rPr>
        <w:t>.  First, Tribes nationally did not get a</w:t>
      </w:r>
      <w:r w:rsidR="00E06C9A">
        <w:rPr>
          <w:rFonts w:asciiTheme="minorHAnsi" w:hAnsiTheme="minorHAnsi"/>
          <w:sz w:val="20"/>
          <w:szCs w:val="20"/>
        </w:rPr>
        <w:t xml:space="preserve"> fair </w:t>
      </w:r>
      <w:r w:rsidR="00BE44E1" w:rsidRPr="00EA1DAF">
        <w:rPr>
          <w:rFonts w:asciiTheme="minorHAnsi" w:hAnsiTheme="minorHAnsi"/>
          <w:sz w:val="20"/>
          <w:szCs w:val="20"/>
        </w:rPr>
        <w:t xml:space="preserve">pportunity to participate in the $227 million provided for </w:t>
      </w:r>
      <w:r w:rsidR="00E06C9A">
        <w:rPr>
          <w:rFonts w:asciiTheme="minorHAnsi" w:hAnsiTheme="minorHAnsi"/>
          <w:sz w:val="20"/>
          <w:szCs w:val="20"/>
        </w:rPr>
        <w:t xml:space="preserve">ARRA </w:t>
      </w:r>
      <w:r w:rsidR="00BE44E1" w:rsidRPr="00EA1DAF">
        <w:rPr>
          <w:rFonts w:asciiTheme="minorHAnsi" w:hAnsiTheme="minorHAnsi"/>
          <w:sz w:val="20"/>
          <w:szCs w:val="20"/>
        </w:rPr>
        <w:t>facilities construction projects.  Secondly, when IHS phases-in staffing at the two new facilities it is likely to take at least 50-60% of the budget increase in the year the project</w:t>
      </w:r>
      <w:r w:rsidR="00E06C9A">
        <w:rPr>
          <w:rFonts w:asciiTheme="minorHAnsi" w:hAnsiTheme="minorHAnsi"/>
          <w:sz w:val="20"/>
          <w:szCs w:val="20"/>
        </w:rPr>
        <w:t>s</w:t>
      </w:r>
      <w:r w:rsidR="00BE44E1" w:rsidRPr="00EA1DAF">
        <w:rPr>
          <w:rFonts w:asciiTheme="minorHAnsi" w:hAnsiTheme="minorHAnsi"/>
          <w:sz w:val="20"/>
          <w:szCs w:val="20"/>
        </w:rPr>
        <w:t xml:space="preserve"> come on</w:t>
      </w:r>
      <w:r w:rsidR="00E06C9A">
        <w:rPr>
          <w:rFonts w:asciiTheme="minorHAnsi" w:hAnsiTheme="minorHAnsi"/>
          <w:sz w:val="20"/>
          <w:szCs w:val="20"/>
        </w:rPr>
        <w:t>-</w:t>
      </w:r>
      <w:r w:rsidR="00BE44E1" w:rsidRPr="00EA1DAF">
        <w:rPr>
          <w:rFonts w:asciiTheme="minorHAnsi" w:hAnsiTheme="minorHAnsi"/>
          <w:sz w:val="20"/>
          <w:szCs w:val="20"/>
        </w:rPr>
        <w:t xml:space="preserve">line.   </w:t>
      </w:r>
    </w:p>
    <w:p w:rsidR="005D553C" w:rsidRPr="00EA1DAF" w:rsidRDefault="005D553C" w:rsidP="00AA4D56">
      <w:pPr>
        <w:spacing w:line="300" w:lineRule="exact"/>
        <w:rPr>
          <w:rFonts w:asciiTheme="minorHAnsi" w:hAnsiTheme="minorHAnsi"/>
          <w:sz w:val="20"/>
          <w:szCs w:val="20"/>
        </w:rPr>
      </w:pPr>
    </w:p>
    <w:p w:rsidR="00BE44E1" w:rsidRPr="00EA1DAF" w:rsidRDefault="004B70F0" w:rsidP="00CC053F">
      <w:pPr>
        <w:spacing w:line="300" w:lineRule="exact"/>
        <w:rPr>
          <w:rFonts w:asciiTheme="minorHAnsi" w:hAnsiTheme="minorHAnsi"/>
          <w:sz w:val="20"/>
          <w:szCs w:val="20"/>
        </w:rPr>
      </w:pPr>
      <w:r w:rsidRPr="00EA1DAF">
        <w:rPr>
          <w:rFonts w:asciiTheme="minorHAnsi" w:hAnsiTheme="minorHAnsi"/>
          <w:sz w:val="20"/>
          <w:szCs w:val="20"/>
        </w:rPr>
        <w:t xml:space="preserve">The staffing requirements for newly constructed health facilities have always been a concern for tribes nationally and IHS Areas that are dependent on Contract Health Service (CHS) funding to provide health care.  The significance of facilities funding, both for construction and staffing new facilities, is that it removes funds necessary to maintain current </w:t>
      </w:r>
      <w:r w:rsidR="00EF0F1F">
        <w:rPr>
          <w:rFonts w:asciiTheme="minorHAnsi" w:hAnsiTheme="minorHAnsi"/>
          <w:sz w:val="20"/>
          <w:szCs w:val="20"/>
        </w:rPr>
        <w:t xml:space="preserve">services </w:t>
      </w:r>
      <w:r w:rsidRPr="00EA1DAF">
        <w:rPr>
          <w:rFonts w:asciiTheme="minorHAnsi" w:hAnsiTheme="minorHAnsi"/>
          <w:sz w:val="20"/>
          <w:szCs w:val="20"/>
        </w:rPr>
        <w:t>(pay costs, inflation, population growth</w:t>
      </w:r>
      <w:r w:rsidR="00EF0F1F">
        <w:rPr>
          <w:rFonts w:asciiTheme="minorHAnsi" w:hAnsiTheme="minorHAnsi"/>
          <w:sz w:val="20"/>
          <w:szCs w:val="20"/>
        </w:rPr>
        <w:t>, and contract support costs</w:t>
      </w:r>
      <w:r w:rsidRPr="00EA1DAF">
        <w:rPr>
          <w:rFonts w:asciiTheme="minorHAnsi" w:hAnsiTheme="minorHAnsi"/>
          <w:sz w:val="20"/>
          <w:szCs w:val="20"/>
        </w:rPr>
        <w:t xml:space="preserve">) from the IHS budget increase.  The graph above illustrates the significance of staffing new facilities on the IHS budget increase.  Staffing packages for new facilities are like pay act costs in two respects: (1) They come ‘off the top,’ (i.e. they are distributed before other increases), and; (2) They are recurring appropriations.  Northwest Tribes frequently ask: Why did our health program receive a 1% increase in funding this year when </w:t>
      </w:r>
      <w:r w:rsidR="00566164">
        <w:rPr>
          <w:rFonts w:asciiTheme="minorHAnsi" w:hAnsiTheme="minorHAnsi"/>
          <w:sz w:val="20"/>
          <w:szCs w:val="20"/>
        </w:rPr>
        <w:t xml:space="preserve">Congress provided </w:t>
      </w:r>
      <w:r w:rsidRPr="00EA1DAF">
        <w:rPr>
          <w:rFonts w:asciiTheme="minorHAnsi" w:hAnsiTheme="minorHAnsi"/>
          <w:sz w:val="20"/>
          <w:szCs w:val="20"/>
        </w:rPr>
        <w:t xml:space="preserve">a </w:t>
      </w:r>
      <w:r w:rsidR="00566164">
        <w:rPr>
          <w:rFonts w:asciiTheme="minorHAnsi" w:hAnsiTheme="minorHAnsi"/>
          <w:sz w:val="20"/>
          <w:szCs w:val="20"/>
        </w:rPr>
        <w:t>6</w:t>
      </w:r>
      <w:r w:rsidRPr="00EA1DAF">
        <w:rPr>
          <w:rFonts w:asciiTheme="minorHAnsi" w:hAnsiTheme="minorHAnsi"/>
          <w:sz w:val="20"/>
          <w:szCs w:val="20"/>
        </w:rPr>
        <w:t>% increase for the IHS budget?  In FY 200</w:t>
      </w:r>
      <w:r w:rsidR="00566164">
        <w:rPr>
          <w:rFonts w:asciiTheme="minorHAnsi" w:hAnsiTheme="minorHAnsi"/>
          <w:sz w:val="20"/>
          <w:szCs w:val="20"/>
        </w:rPr>
        <w:t>3</w:t>
      </w:r>
      <w:r w:rsidRPr="00EA1DAF">
        <w:rPr>
          <w:rFonts w:asciiTheme="minorHAnsi" w:hAnsiTheme="minorHAnsi"/>
          <w:sz w:val="20"/>
          <w:szCs w:val="20"/>
        </w:rPr>
        <w:t xml:space="preserve">, the IHS received a 2.1% increase; however Portland Area Tribes realized less than a 1% increase in their health care budgets.   In FY 2004, the new staffing was over 60% of the IHS budget increase.  In FY 2005 and FY 2006, new staffing costs consumed over 50% of the increase.  While the impact of staffing in the last </w:t>
      </w:r>
      <w:r w:rsidR="00BE44E1" w:rsidRPr="00EA1DAF">
        <w:rPr>
          <w:rFonts w:asciiTheme="minorHAnsi" w:hAnsiTheme="minorHAnsi"/>
          <w:sz w:val="20"/>
          <w:szCs w:val="20"/>
        </w:rPr>
        <w:t xml:space="preserve">three years has been negligible, it’s expected that the requirements to phase-in staff for the two projects funded under ARRA will exceed </w:t>
      </w:r>
      <w:r w:rsidR="00566164">
        <w:rPr>
          <w:rFonts w:asciiTheme="minorHAnsi" w:hAnsiTheme="minorHAnsi"/>
          <w:sz w:val="20"/>
          <w:szCs w:val="20"/>
        </w:rPr>
        <w:t>6</w:t>
      </w:r>
      <w:r w:rsidR="00BE44E1" w:rsidRPr="00EA1DAF">
        <w:rPr>
          <w:rFonts w:asciiTheme="minorHAnsi" w:hAnsiTheme="minorHAnsi"/>
          <w:sz w:val="20"/>
          <w:szCs w:val="20"/>
        </w:rPr>
        <w:t xml:space="preserve">0 percent of the IHS budget increase.   This increase comes at the expense of Tribes nationally and since Tribes did not get an opportunity to participate equally, they </w:t>
      </w:r>
      <w:r w:rsidR="00B82A97" w:rsidRPr="00EA1DAF">
        <w:rPr>
          <w:rFonts w:asciiTheme="minorHAnsi" w:hAnsiTheme="minorHAnsi"/>
          <w:sz w:val="20"/>
          <w:szCs w:val="20"/>
        </w:rPr>
        <w:t xml:space="preserve">should not be penalized twice. </w:t>
      </w:r>
    </w:p>
    <w:p w:rsidR="00BE44E1" w:rsidRPr="00EA1DAF" w:rsidRDefault="00BE44E1" w:rsidP="00CC053F">
      <w:pPr>
        <w:spacing w:line="300" w:lineRule="exact"/>
        <w:rPr>
          <w:rFonts w:asciiTheme="minorHAnsi" w:hAnsiTheme="minorHAnsi"/>
          <w:sz w:val="20"/>
          <w:szCs w:val="20"/>
        </w:rPr>
      </w:pPr>
    </w:p>
    <w:p w:rsidR="00A61F46" w:rsidRPr="00EA1DAF" w:rsidRDefault="00B82A97" w:rsidP="00CC053F">
      <w:pPr>
        <w:spacing w:line="300" w:lineRule="exact"/>
        <w:rPr>
          <w:rFonts w:asciiTheme="minorHAnsi" w:hAnsiTheme="minorHAnsi"/>
          <w:sz w:val="20"/>
          <w:szCs w:val="20"/>
        </w:rPr>
      </w:pPr>
      <w:r w:rsidRPr="00EA1DAF">
        <w:rPr>
          <w:rFonts w:asciiTheme="minorHAnsi" w:hAnsiTheme="minorHAnsi"/>
          <w:sz w:val="20"/>
          <w:szCs w:val="20"/>
          <w:u w:val="single"/>
        </w:rPr>
        <w:lastRenderedPageBreak/>
        <w:t>Recommendation</w:t>
      </w:r>
      <w:r w:rsidRPr="00EA1DAF">
        <w:rPr>
          <w:rFonts w:asciiTheme="minorHAnsi" w:hAnsiTheme="minorHAnsi"/>
          <w:sz w:val="20"/>
          <w:szCs w:val="20"/>
        </w:rPr>
        <w:t xml:space="preserve">:  </w:t>
      </w:r>
      <w:r w:rsidR="00BE44E1" w:rsidRPr="00EA1DAF">
        <w:rPr>
          <w:rFonts w:asciiTheme="minorHAnsi" w:hAnsiTheme="minorHAnsi"/>
          <w:sz w:val="20"/>
          <w:szCs w:val="20"/>
        </w:rPr>
        <w:t>Congress should provide a special appropriation for the staffing requirements for the two new projects</w:t>
      </w:r>
      <w:r w:rsidRPr="00EA1DAF">
        <w:rPr>
          <w:rFonts w:asciiTheme="minorHAnsi" w:hAnsiTheme="minorHAnsi"/>
          <w:sz w:val="20"/>
          <w:szCs w:val="20"/>
        </w:rPr>
        <w:t xml:space="preserve"> funded by economic stimulus funds</w:t>
      </w:r>
      <w:r w:rsidR="00BE44E1" w:rsidRPr="00EA1DAF">
        <w:rPr>
          <w:rFonts w:asciiTheme="minorHAnsi" w:hAnsiTheme="minorHAnsi"/>
          <w:sz w:val="20"/>
          <w:szCs w:val="20"/>
        </w:rPr>
        <w:t xml:space="preserve">.  </w:t>
      </w:r>
    </w:p>
    <w:p w:rsidR="00BE44E1" w:rsidRPr="00EA1DAF" w:rsidRDefault="00BE44E1" w:rsidP="00CC053F">
      <w:pPr>
        <w:spacing w:line="300" w:lineRule="exact"/>
        <w:rPr>
          <w:rFonts w:asciiTheme="minorHAnsi" w:hAnsiTheme="minorHAnsi"/>
          <w:sz w:val="20"/>
          <w:szCs w:val="20"/>
        </w:rPr>
      </w:pPr>
    </w:p>
    <w:p w:rsidR="00EE1D7A" w:rsidRPr="00EA1DAF" w:rsidRDefault="00C519E3" w:rsidP="00C96140">
      <w:pPr>
        <w:spacing w:after="120" w:line="300" w:lineRule="exact"/>
        <w:rPr>
          <w:rFonts w:asciiTheme="minorHAnsi" w:hAnsiTheme="minorHAnsi"/>
          <w:b/>
          <w:i/>
          <w:szCs w:val="20"/>
        </w:rPr>
      </w:pPr>
      <w:r w:rsidRPr="00EA1DAF">
        <w:rPr>
          <w:rFonts w:asciiTheme="minorHAnsi" w:hAnsiTheme="minorHAnsi"/>
          <w:b/>
          <w:i/>
          <w:szCs w:val="20"/>
        </w:rPr>
        <w:t>FY 20</w:t>
      </w:r>
      <w:r w:rsidR="00C46645" w:rsidRPr="00EA1DAF">
        <w:rPr>
          <w:rFonts w:asciiTheme="minorHAnsi" w:hAnsiTheme="minorHAnsi"/>
          <w:b/>
          <w:i/>
          <w:szCs w:val="20"/>
        </w:rPr>
        <w:t>10</w:t>
      </w:r>
      <w:r w:rsidRPr="00EA1DAF">
        <w:rPr>
          <w:rFonts w:asciiTheme="minorHAnsi" w:hAnsiTheme="minorHAnsi"/>
          <w:b/>
          <w:i/>
          <w:szCs w:val="20"/>
        </w:rPr>
        <w:t xml:space="preserve"> </w:t>
      </w:r>
      <w:r w:rsidR="00D37858" w:rsidRPr="00EA1DAF">
        <w:rPr>
          <w:rFonts w:asciiTheme="minorHAnsi" w:hAnsiTheme="minorHAnsi"/>
          <w:b/>
          <w:i/>
          <w:szCs w:val="20"/>
        </w:rPr>
        <w:t xml:space="preserve">Mandatory Cost Increases </w:t>
      </w:r>
      <w:r w:rsidR="00C46645" w:rsidRPr="00EA1DAF">
        <w:rPr>
          <w:rFonts w:asciiTheme="minorHAnsi" w:hAnsiTheme="minorHAnsi"/>
          <w:b/>
          <w:i/>
          <w:szCs w:val="20"/>
        </w:rPr>
        <w:t xml:space="preserve"> </w:t>
      </w:r>
    </w:p>
    <w:p w:rsidR="00EF45A4" w:rsidRDefault="00C46645" w:rsidP="00C46645">
      <w:pPr>
        <w:pStyle w:val="BodyText2"/>
        <w:spacing w:line="300" w:lineRule="exact"/>
        <w:rPr>
          <w:rFonts w:asciiTheme="minorHAnsi" w:hAnsiTheme="minorHAnsi"/>
          <w:sz w:val="20"/>
        </w:rPr>
      </w:pPr>
      <w:r w:rsidRPr="00EA1DAF">
        <w:rPr>
          <w:rFonts w:asciiTheme="minorHAnsi" w:hAnsiTheme="minorHAnsi"/>
          <w:sz w:val="20"/>
        </w:rPr>
        <w:t xml:space="preserve">A basic budget principle of Northwest Tribes has always focused on preserving the basic health care program funded by the IHS budget.  Preserving the purchasing power of the IHS base program should be the first budget principle, not an afterthought.  How can unmet needs ever be addressed if the existing program is not maintained?  </w:t>
      </w:r>
      <w:r w:rsidR="00CD2A4F" w:rsidRPr="00EA1DAF">
        <w:rPr>
          <w:rFonts w:asciiTheme="minorHAnsi" w:hAnsiTheme="minorHAnsi"/>
          <w:sz w:val="20"/>
        </w:rPr>
        <w:t xml:space="preserve">Current services estimates’ calculate mandatory costs increases necessary to maintain the current level of services.  These </w:t>
      </w:r>
      <w:r w:rsidR="00CD2A4F" w:rsidRPr="00EA1DAF">
        <w:rPr>
          <w:rFonts w:asciiTheme="minorHAnsi" w:hAnsiTheme="minorHAnsi"/>
          <w:i/>
          <w:sz w:val="20"/>
        </w:rPr>
        <w:t>“mandatories”</w:t>
      </w:r>
      <w:r w:rsidR="00CD2A4F" w:rsidRPr="00EA1DAF">
        <w:rPr>
          <w:rFonts w:asciiTheme="minorHAnsi" w:hAnsiTheme="minorHAnsi"/>
          <w:sz w:val="20"/>
        </w:rPr>
        <w:t xml:space="preserve"> are unavoidable and include medical and general inflation, federal and tribal pay act increases, population growth, and administrative costs (contract support costs).  The 10</w:t>
      </w:r>
      <w:r w:rsidR="00844DAD" w:rsidRPr="00EA1DAF">
        <w:rPr>
          <w:rFonts w:asciiTheme="minorHAnsi" w:hAnsiTheme="minorHAnsi"/>
          <w:sz w:val="20"/>
        </w:rPr>
        <w:t xml:space="preserve"> percent </w:t>
      </w:r>
      <w:r w:rsidR="00CD2A4F" w:rsidRPr="00EA1DAF">
        <w:rPr>
          <w:rFonts w:asciiTheme="minorHAnsi" w:hAnsiTheme="minorHAnsi"/>
          <w:sz w:val="20"/>
        </w:rPr>
        <w:t xml:space="preserve">increase received in FY 2001 was the last budget that allowed tribes to reduce denials of </w:t>
      </w:r>
      <w:r w:rsidR="00844DAD" w:rsidRPr="00EA1DAF">
        <w:rPr>
          <w:rFonts w:asciiTheme="minorHAnsi" w:hAnsiTheme="minorHAnsi"/>
          <w:sz w:val="20"/>
        </w:rPr>
        <w:t xml:space="preserve">CHS </w:t>
      </w:r>
      <w:r w:rsidR="00CD2A4F" w:rsidRPr="00EA1DAF">
        <w:rPr>
          <w:rFonts w:asciiTheme="minorHAnsi" w:hAnsiTheme="minorHAnsi"/>
          <w:sz w:val="20"/>
        </w:rPr>
        <w:t xml:space="preserve">services.  </w:t>
      </w:r>
    </w:p>
    <w:p w:rsidR="00EF45A4" w:rsidRDefault="00EF45A4" w:rsidP="00C46645">
      <w:pPr>
        <w:pStyle w:val="BodyText2"/>
        <w:spacing w:line="300" w:lineRule="exact"/>
        <w:rPr>
          <w:rFonts w:asciiTheme="minorHAnsi" w:hAnsiTheme="minorHAnsi"/>
          <w:sz w:val="20"/>
        </w:rPr>
      </w:pPr>
    </w:p>
    <w:tbl>
      <w:tblPr>
        <w:tblpPr w:leftFromText="346" w:rightFromText="187" w:topFromText="346" w:bottomFromText="346" w:vertAnchor="text" w:horzAnchor="margin" w:tblpXSpec="right"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6"/>
        <w:gridCol w:w="1351"/>
      </w:tblGrid>
      <w:tr w:rsidR="0090763B" w:rsidRPr="0090763B" w:rsidTr="0090763B">
        <w:trPr>
          <w:trHeight w:val="271"/>
        </w:trPr>
        <w:tc>
          <w:tcPr>
            <w:tcW w:w="4427" w:type="dxa"/>
            <w:gridSpan w:val="2"/>
            <w:vAlign w:val="center"/>
          </w:tcPr>
          <w:p w:rsidR="0090763B" w:rsidRPr="0090763B" w:rsidRDefault="0090763B" w:rsidP="0090763B">
            <w:pPr>
              <w:pStyle w:val="BodyTextIndent"/>
              <w:tabs>
                <w:tab w:val="clear" w:pos="90"/>
              </w:tabs>
              <w:ind w:left="0" w:right="-341"/>
              <w:jc w:val="center"/>
              <w:rPr>
                <w:rFonts w:asciiTheme="minorHAnsi" w:hAnsiTheme="minorHAnsi"/>
                <w:b/>
                <w:bCs/>
                <w:sz w:val="18"/>
              </w:rPr>
            </w:pPr>
            <w:r w:rsidRPr="0090763B">
              <w:rPr>
                <w:rFonts w:asciiTheme="minorHAnsi" w:hAnsiTheme="minorHAnsi"/>
                <w:b/>
                <w:bCs/>
                <w:sz w:val="18"/>
              </w:rPr>
              <w:t>FY 2010 Current Service Requirements</w:t>
            </w:r>
          </w:p>
        </w:tc>
      </w:tr>
      <w:tr w:rsidR="0090763B" w:rsidRPr="0090763B" w:rsidTr="0090763B">
        <w:trPr>
          <w:trHeight w:val="271"/>
        </w:trPr>
        <w:tc>
          <w:tcPr>
            <w:tcW w:w="3076" w:type="dxa"/>
            <w:vAlign w:val="center"/>
          </w:tcPr>
          <w:p w:rsidR="0090763B" w:rsidRPr="0090763B" w:rsidRDefault="0090763B" w:rsidP="0090763B">
            <w:pPr>
              <w:pStyle w:val="BodyTextIndent"/>
              <w:tabs>
                <w:tab w:val="clear" w:pos="90"/>
              </w:tabs>
              <w:ind w:left="0"/>
              <w:jc w:val="center"/>
              <w:rPr>
                <w:rFonts w:asciiTheme="minorHAnsi" w:hAnsiTheme="minorHAnsi"/>
                <w:i/>
                <w:iCs/>
                <w:sz w:val="18"/>
              </w:rPr>
            </w:pPr>
            <w:r w:rsidRPr="0090763B">
              <w:rPr>
                <w:rFonts w:asciiTheme="minorHAnsi" w:hAnsiTheme="minorHAnsi"/>
                <w:i/>
                <w:iCs/>
                <w:sz w:val="18"/>
              </w:rPr>
              <w:t>Mandatory Cost to</w:t>
            </w:r>
          </w:p>
          <w:p w:rsidR="0090763B" w:rsidRPr="0090763B" w:rsidRDefault="0090763B" w:rsidP="0090763B">
            <w:pPr>
              <w:pStyle w:val="BodyTextIndent"/>
              <w:tabs>
                <w:tab w:val="clear" w:pos="90"/>
              </w:tabs>
              <w:ind w:left="0"/>
              <w:jc w:val="center"/>
              <w:rPr>
                <w:rFonts w:asciiTheme="minorHAnsi" w:hAnsiTheme="minorHAnsi"/>
                <w:i/>
                <w:iCs/>
                <w:sz w:val="18"/>
              </w:rPr>
            </w:pPr>
            <w:r w:rsidRPr="0090763B">
              <w:rPr>
                <w:rFonts w:asciiTheme="minorHAnsi" w:hAnsiTheme="minorHAnsi"/>
                <w:i/>
                <w:iCs/>
                <w:sz w:val="18"/>
              </w:rPr>
              <w:t>Maintain Current Services</w:t>
            </w:r>
          </w:p>
        </w:tc>
        <w:tc>
          <w:tcPr>
            <w:tcW w:w="1351" w:type="dxa"/>
            <w:vAlign w:val="center"/>
          </w:tcPr>
          <w:p w:rsidR="0090763B" w:rsidRPr="0090763B" w:rsidRDefault="0090763B" w:rsidP="0090763B">
            <w:pPr>
              <w:pStyle w:val="BodyTextIndent"/>
              <w:tabs>
                <w:tab w:val="clear" w:pos="90"/>
              </w:tabs>
              <w:ind w:left="0"/>
              <w:jc w:val="center"/>
              <w:rPr>
                <w:rFonts w:asciiTheme="minorHAnsi" w:hAnsiTheme="minorHAnsi"/>
                <w:i/>
                <w:iCs/>
                <w:sz w:val="18"/>
              </w:rPr>
            </w:pPr>
            <w:r w:rsidRPr="0090763B">
              <w:rPr>
                <w:rFonts w:asciiTheme="minorHAnsi" w:hAnsiTheme="minorHAnsi"/>
                <w:i/>
                <w:iCs/>
                <w:sz w:val="18"/>
              </w:rPr>
              <w:t>Increase needed</w:t>
            </w:r>
          </w:p>
        </w:tc>
      </w:tr>
      <w:tr w:rsidR="0090763B" w:rsidRPr="0090763B" w:rsidTr="0090763B">
        <w:trPr>
          <w:trHeight w:val="271"/>
        </w:trPr>
        <w:tc>
          <w:tcPr>
            <w:tcW w:w="3076" w:type="dxa"/>
            <w:vAlign w:val="center"/>
          </w:tcPr>
          <w:p w:rsidR="0090763B" w:rsidRPr="0090763B" w:rsidRDefault="0090763B" w:rsidP="0090763B">
            <w:pPr>
              <w:pStyle w:val="BodyTextIndent"/>
              <w:tabs>
                <w:tab w:val="clear" w:pos="90"/>
              </w:tabs>
              <w:ind w:left="0"/>
              <w:jc w:val="left"/>
              <w:rPr>
                <w:rFonts w:asciiTheme="minorHAnsi" w:hAnsiTheme="minorHAnsi"/>
                <w:sz w:val="18"/>
              </w:rPr>
            </w:pPr>
            <w:r w:rsidRPr="0090763B">
              <w:rPr>
                <w:rFonts w:asciiTheme="minorHAnsi" w:hAnsiTheme="minorHAnsi"/>
                <w:sz w:val="18"/>
              </w:rPr>
              <w:t>CHS inflation estimated at 7 percent</w:t>
            </w:r>
          </w:p>
        </w:tc>
        <w:tc>
          <w:tcPr>
            <w:tcW w:w="1351" w:type="dxa"/>
            <w:vAlign w:val="center"/>
          </w:tcPr>
          <w:p w:rsidR="0090763B" w:rsidRPr="0090763B" w:rsidRDefault="0090763B" w:rsidP="00D22E03">
            <w:pPr>
              <w:pStyle w:val="BodyTextIndent"/>
              <w:tabs>
                <w:tab w:val="clear" w:pos="90"/>
              </w:tabs>
              <w:ind w:left="0"/>
              <w:jc w:val="center"/>
              <w:rPr>
                <w:rFonts w:asciiTheme="minorHAnsi" w:hAnsiTheme="minorHAnsi"/>
                <w:sz w:val="18"/>
              </w:rPr>
            </w:pPr>
            <w:r w:rsidRPr="0090763B">
              <w:rPr>
                <w:rFonts w:asciiTheme="minorHAnsi" w:hAnsiTheme="minorHAnsi"/>
                <w:sz w:val="18"/>
              </w:rPr>
              <w:t>$  44,4</w:t>
            </w:r>
            <w:r w:rsidR="00D22E03">
              <w:rPr>
                <w:rFonts w:asciiTheme="minorHAnsi" w:hAnsiTheme="minorHAnsi"/>
                <w:sz w:val="18"/>
              </w:rPr>
              <w:t>1</w:t>
            </w:r>
            <w:r w:rsidRPr="0090763B">
              <w:rPr>
                <w:rFonts w:asciiTheme="minorHAnsi" w:hAnsiTheme="minorHAnsi"/>
                <w:sz w:val="18"/>
              </w:rPr>
              <w:t>3</w:t>
            </w:r>
          </w:p>
        </w:tc>
      </w:tr>
      <w:tr w:rsidR="0090763B" w:rsidRPr="0090763B" w:rsidTr="0090763B">
        <w:trPr>
          <w:trHeight w:val="410"/>
        </w:trPr>
        <w:tc>
          <w:tcPr>
            <w:tcW w:w="3076" w:type="dxa"/>
            <w:vAlign w:val="center"/>
          </w:tcPr>
          <w:p w:rsidR="0090763B" w:rsidRPr="0090763B" w:rsidRDefault="0090763B" w:rsidP="0090763B">
            <w:pPr>
              <w:pStyle w:val="BodyTextIndent"/>
              <w:tabs>
                <w:tab w:val="clear" w:pos="90"/>
              </w:tabs>
              <w:ind w:left="0"/>
              <w:jc w:val="left"/>
              <w:rPr>
                <w:rFonts w:asciiTheme="minorHAnsi" w:hAnsiTheme="minorHAnsi"/>
                <w:sz w:val="18"/>
              </w:rPr>
            </w:pPr>
            <w:r w:rsidRPr="0090763B">
              <w:rPr>
                <w:rFonts w:asciiTheme="minorHAnsi" w:hAnsiTheme="minorHAnsi"/>
                <w:sz w:val="18"/>
              </w:rPr>
              <w:t>Health Services Account (not including CHS inflation estimated at 8.3%)</w:t>
            </w:r>
          </w:p>
        </w:tc>
        <w:tc>
          <w:tcPr>
            <w:tcW w:w="1351" w:type="dxa"/>
            <w:vAlign w:val="center"/>
          </w:tcPr>
          <w:p w:rsidR="0090763B" w:rsidRPr="0090763B" w:rsidRDefault="0090763B" w:rsidP="0090763B">
            <w:pPr>
              <w:pStyle w:val="BodyTextIndent"/>
              <w:tabs>
                <w:tab w:val="clear" w:pos="90"/>
              </w:tabs>
              <w:ind w:left="0"/>
              <w:jc w:val="center"/>
              <w:rPr>
                <w:rFonts w:asciiTheme="minorHAnsi" w:hAnsiTheme="minorHAnsi"/>
                <w:sz w:val="18"/>
              </w:rPr>
            </w:pPr>
            <w:r w:rsidRPr="0090763B">
              <w:rPr>
                <w:rFonts w:asciiTheme="minorHAnsi" w:hAnsiTheme="minorHAnsi"/>
                <w:sz w:val="18"/>
              </w:rPr>
              <w:t>$ 158,358</w:t>
            </w:r>
          </w:p>
        </w:tc>
      </w:tr>
      <w:tr w:rsidR="0090763B" w:rsidRPr="0090763B" w:rsidTr="0090763B">
        <w:trPr>
          <w:trHeight w:val="271"/>
        </w:trPr>
        <w:tc>
          <w:tcPr>
            <w:tcW w:w="3076" w:type="dxa"/>
            <w:vAlign w:val="center"/>
          </w:tcPr>
          <w:p w:rsidR="0090763B" w:rsidRPr="0090763B" w:rsidRDefault="0090763B" w:rsidP="0090763B">
            <w:pPr>
              <w:pStyle w:val="BodyTextIndent"/>
              <w:tabs>
                <w:tab w:val="clear" w:pos="90"/>
              </w:tabs>
              <w:ind w:left="0"/>
              <w:jc w:val="left"/>
              <w:rPr>
                <w:rFonts w:asciiTheme="minorHAnsi" w:hAnsiTheme="minorHAnsi"/>
                <w:sz w:val="18"/>
              </w:rPr>
            </w:pPr>
            <w:r w:rsidRPr="0090763B">
              <w:rPr>
                <w:rFonts w:asciiTheme="minorHAnsi" w:hAnsiTheme="minorHAnsi"/>
                <w:sz w:val="18"/>
              </w:rPr>
              <w:t>Contract Support Costs (unfunded)</w:t>
            </w:r>
          </w:p>
        </w:tc>
        <w:tc>
          <w:tcPr>
            <w:tcW w:w="1351" w:type="dxa"/>
            <w:vAlign w:val="center"/>
          </w:tcPr>
          <w:p w:rsidR="0090763B" w:rsidRPr="0090763B" w:rsidRDefault="0090763B" w:rsidP="0090763B">
            <w:pPr>
              <w:pStyle w:val="BodyTextIndent"/>
              <w:tabs>
                <w:tab w:val="clear" w:pos="90"/>
              </w:tabs>
              <w:ind w:left="0"/>
              <w:jc w:val="center"/>
              <w:rPr>
                <w:rFonts w:asciiTheme="minorHAnsi" w:hAnsiTheme="minorHAnsi"/>
                <w:sz w:val="18"/>
              </w:rPr>
            </w:pPr>
            <w:r w:rsidRPr="0090763B">
              <w:rPr>
                <w:rFonts w:asciiTheme="minorHAnsi" w:hAnsiTheme="minorHAnsi"/>
                <w:sz w:val="18"/>
              </w:rPr>
              <w:t>$ 200,000</w:t>
            </w:r>
          </w:p>
        </w:tc>
      </w:tr>
      <w:tr w:rsidR="0090763B" w:rsidRPr="0090763B" w:rsidTr="0090763B">
        <w:trPr>
          <w:trHeight w:val="271"/>
        </w:trPr>
        <w:tc>
          <w:tcPr>
            <w:tcW w:w="3076" w:type="dxa"/>
            <w:vAlign w:val="center"/>
          </w:tcPr>
          <w:p w:rsidR="0090763B" w:rsidRPr="0090763B" w:rsidRDefault="0090763B" w:rsidP="0090763B">
            <w:pPr>
              <w:pStyle w:val="BodyTextIndent"/>
              <w:tabs>
                <w:tab w:val="clear" w:pos="90"/>
              </w:tabs>
              <w:ind w:left="0"/>
              <w:jc w:val="left"/>
              <w:rPr>
                <w:rFonts w:asciiTheme="minorHAnsi" w:hAnsiTheme="minorHAnsi"/>
                <w:sz w:val="18"/>
              </w:rPr>
            </w:pPr>
            <w:r w:rsidRPr="0090763B">
              <w:rPr>
                <w:rFonts w:asciiTheme="minorHAnsi" w:hAnsiTheme="minorHAnsi"/>
                <w:sz w:val="18"/>
              </w:rPr>
              <w:t>Population Growth (estimated at  2%)</w:t>
            </w:r>
          </w:p>
        </w:tc>
        <w:tc>
          <w:tcPr>
            <w:tcW w:w="1351" w:type="dxa"/>
            <w:vAlign w:val="center"/>
          </w:tcPr>
          <w:p w:rsidR="0090763B" w:rsidRPr="0090763B" w:rsidRDefault="0090763B" w:rsidP="0090763B">
            <w:pPr>
              <w:pStyle w:val="BodyTextIndent"/>
              <w:tabs>
                <w:tab w:val="clear" w:pos="90"/>
              </w:tabs>
              <w:ind w:left="0"/>
              <w:jc w:val="center"/>
              <w:rPr>
                <w:rFonts w:asciiTheme="minorHAnsi" w:hAnsiTheme="minorHAnsi"/>
                <w:sz w:val="18"/>
              </w:rPr>
            </w:pPr>
            <w:r w:rsidRPr="0090763B">
              <w:rPr>
                <w:rFonts w:asciiTheme="minorHAnsi" w:hAnsiTheme="minorHAnsi"/>
                <w:sz w:val="18"/>
              </w:rPr>
              <w:t>$  67,010</w:t>
            </w:r>
          </w:p>
        </w:tc>
      </w:tr>
      <w:tr w:rsidR="0090763B" w:rsidRPr="0090763B" w:rsidTr="0090763B">
        <w:trPr>
          <w:trHeight w:val="271"/>
        </w:trPr>
        <w:tc>
          <w:tcPr>
            <w:tcW w:w="3076" w:type="dxa"/>
            <w:vAlign w:val="center"/>
          </w:tcPr>
          <w:p w:rsidR="0090763B" w:rsidRPr="0090763B" w:rsidRDefault="0090763B" w:rsidP="0090763B">
            <w:pPr>
              <w:pStyle w:val="BodyTextIndent"/>
              <w:tabs>
                <w:tab w:val="clear" w:pos="90"/>
                <w:tab w:val="left" w:pos="0"/>
              </w:tabs>
              <w:ind w:left="0"/>
              <w:jc w:val="right"/>
              <w:rPr>
                <w:rFonts w:asciiTheme="minorHAnsi" w:hAnsiTheme="minorHAnsi"/>
                <w:sz w:val="18"/>
              </w:rPr>
            </w:pPr>
            <w:r w:rsidRPr="0090763B">
              <w:rPr>
                <w:rFonts w:asciiTheme="minorHAnsi" w:hAnsiTheme="minorHAnsi"/>
                <w:sz w:val="18"/>
              </w:rPr>
              <w:t>Total Mandatory Costs</w:t>
            </w:r>
          </w:p>
        </w:tc>
        <w:tc>
          <w:tcPr>
            <w:tcW w:w="1351" w:type="dxa"/>
            <w:vAlign w:val="center"/>
          </w:tcPr>
          <w:p w:rsidR="0090763B" w:rsidRPr="0090763B" w:rsidRDefault="0090763B" w:rsidP="0090763B">
            <w:pPr>
              <w:pStyle w:val="BodyTextIndent"/>
              <w:tabs>
                <w:tab w:val="clear" w:pos="90"/>
                <w:tab w:val="left" w:pos="0"/>
              </w:tabs>
              <w:ind w:left="0"/>
              <w:jc w:val="center"/>
              <w:rPr>
                <w:rFonts w:asciiTheme="minorHAnsi" w:hAnsiTheme="minorHAnsi"/>
                <w:sz w:val="18"/>
              </w:rPr>
            </w:pPr>
            <w:r w:rsidRPr="0090763B">
              <w:rPr>
                <w:rFonts w:asciiTheme="minorHAnsi" w:hAnsiTheme="minorHAnsi"/>
                <w:sz w:val="18"/>
              </w:rPr>
              <w:t xml:space="preserve">$ </w:t>
            </w:r>
            <w:r w:rsidR="00D22E03">
              <w:rPr>
                <w:rFonts w:asciiTheme="minorHAnsi" w:hAnsiTheme="minorHAnsi"/>
                <w:sz w:val="18"/>
              </w:rPr>
              <w:t>469,781</w:t>
            </w:r>
          </w:p>
        </w:tc>
      </w:tr>
    </w:tbl>
    <w:p w:rsidR="001F14FD" w:rsidRPr="00EA1DAF" w:rsidRDefault="00CD2A4F" w:rsidP="00C46645">
      <w:pPr>
        <w:pStyle w:val="BodyText2"/>
        <w:spacing w:line="300" w:lineRule="exact"/>
        <w:rPr>
          <w:rFonts w:asciiTheme="minorHAnsi" w:hAnsiTheme="minorHAnsi"/>
          <w:sz w:val="20"/>
        </w:rPr>
      </w:pPr>
      <w:r w:rsidRPr="00EA1DAF">
        <w:rPr>
          <w:rFonts w:asciiTheme="minorHAnsi" w:hAnsiTheme="minorHAnsi"/>
          <w:sz w:val="20"/>
        </w:rPr>
        <w:t>NPAIHB estimates the current services need in FY 20</w:t>
      </w:r>
      <w:r w:rsidR="00844DAD" w:rsidRPr="00EA1DAF">
        <w:rPr>
          <w:rFonts w:asciiTheme="minorHAnsi" w:hAnsiTheme="minorHAnsi"/>
          <w:sz w:val="20"/>
        </w:rPr>
        <w:t xml:space="preserve">10 </w:t>
      </w:r>
      <w:r w:rsidR="001F14FD" w:rsidRPr="00EA1DAF">
        <w:rPr>
          <w:rFonts w:asciiTheme="minorHAnsi" w:hAnsiTheme="minorHAnsi"/>
          <w:sz w:val="20"/>
        </w:rPr>
        <w:t>to be $</w:t>
      </w:r>
      <w:r w:rsidR="00844DAD" w:rsidRPr="00EA1DAF">
        <w:rPr>
          <w:rFonts w:asciiTheme="minorHAnsi" w:hAnsiTheme="minorHAnsi"/>
          <w:sz w:val="20"/>
        </w:rPr>
        <w:t>4</w:t>
      </w:r>
      <w:r w:rsidR="00F815E3" w:rsidRPr="00EA1DAF">
        <w:rPr>
          <w:rFonts w:asciiTheme="minorHAnsi" w:hAnsiTheme="minorHAnsi"/>
          <w:sz w:val="20"/>
        </w:rPr>
        <w:t xml:space="preserve">70 </w:t>
      </w:r>
      <w:r w:rsidRPr="00EA1DAF">
        <w:rPr>
          <w:rFonts w:asciiTheme="minorHAnsi" w:hAnsiTheme="minorHAnsi"/>
          <w:sz w:val="20"/>
        </w:rPr>
        <w:t xml:space="preserve">million.  This is the </w:t>
      </w:r>
      <w:r w:rsidR="001F14FD" w:rsidRPr="00EA1DAF">
        <w:rPr>
          <w:rFonts w:asciiTheme="minorHAnsi" w:hAnsiTheme="minorHAnsi"/>
          <w:sz w:val="20"/>
        </w:rPr>
        <w:t xml:space="preserve">minimum </w:t>
      </w:r>
      <w:r w:rsidRPr="00EA1DAF">
        <w:rPr>
          <w:rFonts w:asciiTheme="minorHAnsi" w:hAnsiTheme="minorHAnsi"/>
          <w:sz w:val="20"/>
        </w:rPr>
        <w:t xml:space="preserve">amount necessary to fund inflation, </w:t>
      </w:r>
      <w:r w:rsidR="00F815E3" w:rsidRPr="00EA1DAF">
        <w:rPr>
          <w:rFonts w:asciiTheme="minorHAnsi" w:hAnsiTheme="minorHAnsi"/>
          <w:sz w:val="20"/>
        </w:rPr>
        <w:t xml:space="preserve">pay cost increases, </w:t>
      </w:r>
      <w:r w:rsidRPr="00EA1DAF">
        <w:rPr>
          <w:rFonts w:asciiTheme="minorHAnsi" w:hAnsiTheme="minorHAnsi"/>
          <w:sz w:val="20"/>
        </w:rPr>
        <w:t xml:space="preserve">population growth, and fully fund contract support costs.  </w:t>
      </w:r>
      <w:r w:rsidR="00C30515" w:rsidRPr="00EA1DAF">
        <w:rPr>
          <w:rFonts w:asciiTheme="minorHAnsi" w:hAnsiTheme="minorHAnsi"/>
          <w:sz w:val="20"/>
        </w:rPr>
        <w:t xml:space="preserve">President Obama </w:t>
      </w:r>
      <w:r w:rsidR="001F14FD" w:rsidRPr="00EA1DAF">
        <w:rPr>
          <w:rFonts w:asciiTheme="minorHAnsi" w:hAnsiTheme="minorHAnsi"/>
          <w:sz w:val="20"/>
        </w:rPr>
        <w:t xml:space="preserve">and Congress must continue to build on their commitment to </w:t>
      </w:r>
      <w:r w:rsidR="00C46645" w:rsidRPr="00EA1DAF">
        <w:rPr>
          <w:rFonts w:asciiTheme="minorHAnsi" w:hAnsiTheme="minorHAnsi"/>
          <w:sz w:val="20"/>
        </w:rPr>
        <w:t>address</w:t>
      </w:r>
      <w:r w:rsidR="001F14FD" w:rsidRPr="00EA1DAF">
        <w:rPr>
          <w:rFonts w:asciiTheme="minorHAnsi" w:hAnsiTheme="minorHAnsi"/>
          <w:sz w:val="20"/>
        </w:rPr>
        <w:t xml:space="preserve"> AI/AN </w:t>
      </w:r>
      <w:r w:rsidR="00C46645" w:rsidRPr="00EA1DAF">
        <w:rPr>
          <w:rFonts w:asciiTheme="minorHAnsi" w:hAnsiTheme="minorHAnsi"/>
          <w:sz w:val="20"/>
        </w:rPr>
        <w:t xml:space="preserve">health disparities </w:t>
      </w:r>
      <w:r w:rsidR="001F14FD" w:rsidRPr="00EA1DAF">
        <w:rPr>
          <w:rFonts w:asciiTheme="minorHAnsi" w:hAnsiTheme="minorHAnsi"/>
          <w:sz w:val="20"/>
        </w:rPr>
        <w:t>by providing an additional $</w:t>
      </w:r>
      <w:r w:rsidR="00F815E3" w:rsidRPr="00EA1DAF">
        <w:rPr>
          <w:rFonts w:asciiTheme="minorHAnsi" w:hAnsiTheme="minorHAnsi"/>
          <w:sz w:val="20"/>
        </w:rPr>
        <w:t>55</w:t>
      </w:r>
      <w:r w:rsidR="001F14FD" w:rsidRPr="00EA1DAF">
        <w:rPr>
          <w:rFonts w:asciiTheme="minorHAnsi" w:hAnsiTheme="minorHAnsi"/>
          <w:sz w:val="20"/>
        </w:rPr>
        <w:t xml:space="preserve"> million more than the </w:t>
      </w:r>
      <w:r w:rsidR="00EF45A4">
        <w:rPr>
          <w:rFonts w:asciiTheme="minorHAnsi" w:hAnsiTheme="minorHAnsi"/>
          <w:sz w:val="20"/>
        </w:rPr>
        <w:t xml:space="preserve">Administration </w:t>
      </w:r>
      <w:r w:rsidR="001F14FD" w:rsidRPr="00EA1DAF">
        <w:rPr>
          <w:rFonts w:asciiTheme="minorHAnsi" w:hAnsiTheme="minorHAnsi"/>
          <w:sz w:val="20"/>
        </w:rPr>
        <w:t xml:space="preserve">has requested for the Indian Health Service.  </w:t>
      </w:r>
    </w:p>
    <w:p w:rsidR="001F14FD" w:rsidRPr="00EA1DAF" w:rsidRDefault="001F14FD" w:rsidP="00C46645">
      <w:pPr>
        <w:pStyle w:val="BodyText2"/>
        <w:spacing w:line="300" w:lineRule="exact"/>
        <w:rPr>
          <w:rFonts w:asciiTheme="minorHAnsi" w:hAnsiTheme="minorHAnsi"/>
          <w:sz w:val="20"/>
        </w:rPr>
      </w:pPr>
    </w:p>
    <w:p w:rsidR="0016722C" w:rsidRPr="00EA1DAF" w:rsidRDefault="00DA138A" w:rsidP="00DA138A">
      <w:pPr>
        <w:pStyle w:val="BodyText2"/>
        <w:spacing w:line="300" w:lineRule="exact"/>
        <w:rPr>
          <w:rFonts w:asciiTheme="minorHAnsi" w:hAnsiTheme="minorHAnsi"/>
          <w:sz w:val="20"/>
        </w:rPr>
      </w:pPr>
      <w:r w:rsidRPr="00EA1DAF">
        <w:rPr>
          <w:rFonts w:asciiTheme="minorHAnsi" w:hAnsiTheme="minorHAnsi"/>
          <w:sz w:val="20"/>
        </w:rPr>
        <w:t>The recommendations presented here extrapolate medical related component</w:t>
      </w:r>
      <w:r w:rsidR="0016722C" w:rsidRPr="00EA1DAF">
        <w:rPr>
          <w:rFonts w:asciiTheme="minorHAnsi" w:hAnsiTheme="minorHAnsi"/>
          <w:sz w:val="20"/>
        </w:rPr>
        <w:t>s</w:t>
      </w:r>
      <w:r w:rsidRPr="00EA1DAF">
        <w:rPr>
          <w:rFonts w:asciiTheme="minorHAnsi" w:hAnsiTheme="minorHAnsi"/>
          <w:sz w:val="20"/>
        </w:rPr>
        <w:t xml:space="preserve"> of the Consumer Price Index (CPI) as </w:t>
      </w:r>
      <w:r w:rsidR="0016722C" w:rsidRPr="00EA1DAF">
        <w:rPr>
          <w:rFonts w:asciiTheme="minorHAnsi" w:hAnsiTheme="minorHAnsi"/>
          <w:sz w:val="20"/>
        </w:rPr>
        <w:t xml:space="preserve">they </w:t>
      </w:r>
      <w:r w:rsidRPr="00EA1DAF">
        <w:rPr>
          <w:rFonts w:asciiTheme="minorHAnsi" w:hAnsiTheme="minorHAnsi"/>
          <w:sz w:val="20"/>
        </w:rPr>
        <w:t>relate to IHS budget account activity.  For example, inflation for the Hospital and Clinic Services is measure</w:t>
      </w:r>
      <w:r w:rsidR="0016722C" w:rsidRPr="00EA1DAF">
        <w:rPr>
          <w:rFonts w:asciiTheme="minorHAnsi" w:hAnsiTheme="minorHAnsi"/>
          <w:sz w:val="20"/>
        </w:rPr>
        <w:t>d</w:t>
      </w:r>
      <w:r w:rsidRPr="00EA1DAF">
        <w:rPr>
          <w:rFonts w:asciiTheme="minorHAnsi" w:hAnsiTheme="minorHAnsi"/>
          <w:sz w:val="20"/>
        </w:rPr>
        <w:t xml:space="preserve"> using the Hospital and Related Services component of the CPI; which </w:t>
      </w:r>
      <w:r w:rsidR="006A1E23" w:rsidRPr="00EA1DAF">
        <w:rPr>
          <w:rFonts w:asciiTheme="minorHAnsi" w:hAnsiTheme="minorHAnsi"/>
          <w:sz w:val="20"/>
        </w:rPr>
        <w:t>o</w:t>
      </w:r>
      <w:r w:rsidRPr="00EA1DAF">
        <w:rPr>
          <w:rFonts w:asciiTheme="minorHAnsi" w:hAnsiTheme="minorHAnsi"/>
          <w:sz w:val="20"/>
        </w:rPr>
        <w:t>nly</w:t>
      </w:r>
      <w:r w:rsidR="006A1E23" w:rsidRPr="00EA1DAF">
        <w:rPr>
          <w:rFonts w:asciiTheme="minorHAnsi" w:hAnsiTheme="minorHAnsi"/>
          <w:sz w:val="20"/>
        </w:rPr>
        <w:t xml:space="preserve"> measures</w:t>
      </w:r>
      <w:r w:rsidRPr="00EA1DAF">
        <w:rPr>
          <w:rFonts w:asciiTheme="minorHAnsi" w:hAnsiTheme="minorHAnsi"/>
          <w:sz w:val="20"/>
        </w:rPr>
        <w:t xml:space="preserve"> inpatient and outpatient hospital related </w:t>
      </w:r>
      <w:r w:rsidR="000C67F7" w:rsidRPr="00EA1DAF">
        <w:rPr>
          <w:rFonts w:asciiTheme="minorHAnsi" w:hAnsiTheme="minorHAnsi"/>
          <w:sz w:val="20"/>
        </w:rPr>
        <w:t>care</w:t>
      </w:r>
      <w:r w:rsidRPr="00EA1DAF">
        <w:rPr>
          <w:rFonts w:asciiTheme="minorHAnsi" w:hAnsiTheme="minorHAnsi"/>
          <w:sz w:val="20"/>
        </w:rPr>
        <w:t>.  Similarly, inflation for Dental Services is measure</w:t>
      </w:r>
      <w:r w:rsidR="0016722C" w:rsidRPr="00EA1DAF">
        <w:rPr>
          <w:rFonts w:asciiTheme="minorHAnsi" w:hAnsiTheme="minorHAnsi"/>
          <w:sz w:val="20"/>
        </w:rPr>
        <w:t>d</w:t>
      </w:r>
      <w:r w:rsidRPr="00EA1DAF">
        <w:rPr>
          <w:rFonts w:asciiTheme="minorHAnsi" w:hAnsiTheme="minorHAnsi"/>
          <w:sz w:val="20"/>
        </w:rPr>
        <w:t xml:space="preserve"> using the CPI component for Dental </w:t>
      </w:r>
      <w:r w:rsidR="002D1B42" w:rsidRPr="00EA1DAF">
        <w:rPr>
          <w:rFonts w:asciiTheme="minorHAnsi" w:hAnsiTheme="minorHAnsi"/>
          <w:sz w:val="20"/>
        </w:rPr>
        <w:t xml:space="preserve">care services.  Footnotes are included in the </w:t>
      </w:r>
      <w:r w:rsidR="00F815E3" w:rsidRPr="00EA1DAF">
        <w:rPr>
          <w:rFonts w:asciiTheme="minorHAnsi" w:hAnsiTheme="minorHAnsi"/>
          <w:sz w:val="20"/>
        </w:rPr>
        <w:t xml:space="preserve">attached </w:t>
      </w:r>
      <w:r w:rsidR="002D1B42" w:rsidRPr="00EA1DAF">
        <w:rPr>
          <w:rFonts w:asciiTheme="minorHAnsi" w:hAnsiTheme="minorHAnsi"/>
          <w:sz w:val="20"/>
        </w:rPr>
        <w:t>spreadsheet to indicate which CPI component</w:t>
      </w:r>
      <w:r w:rsidR="0016722C" w:rsidRPr="00EA1DAF">
        <w:rPr>
          <w:rFonts w:asciiTheme="minorHAnsi" w:hAnsiTheme="minorHAnsi"/>
          <w:sz w:val="20"/>
        </w:rPr>
        <w:t>s</w:t>
      </w:r>
      <w:r w:rsidR="002D1B42" w:rsidRPr="00EA1DAF">
        <w:rPr>
          <w:rFonts w:asciiTheme="minorHAnsi" w:hAnsiTheme="minorHAnsi"/>
          <w:sz w:val="20"/>
        </w:rPr>
        <w:t xml:space="preserve"> ha</w:t>
      </w:r>
      <w:r w:rsidR="0016722C" w:rsidRPr="00EA1DAF">
        <w:rPr>
          <w:rFonts w:asciiTheme="minorHAnsi" w:hAnsiTheme="minorHAnsi"/>
          <w:sz w:val="20"/>
        </w:rPr>
        <w:t xml:space="preserve">ve </w:t>
      </w:r>
      <w:r w:rsidR="002D1B42" w:rsidRPr="00EA1DAF">
        <w:rPr>
          <w:rFonts w:asciiTheme="minorHAnsi" w:hAnsiTheme="minorHAnsi"/>
          <w:sz w:val="20"/>
        </w:rPr>
        <w:t>been used to measure inflation for budget sub-sub activity</w:t>
      </w:r>
      <w:r w:rsidR="0016722C" w:rsidRPr="00EA1DAF">
        <w:rPr>
          <w:rFonts w:asciiTheme="minorHAnsi" w:hAnsiTheme="minorHAnsi"/>
          <w:sz w:val="20"/>
        </w:rPr>
        <w:t>.  A</w:t>
      </w:r>
      <w:r w:rsidR="002D1B42" w:rsidRPr="00EA1DAF">
        <w:rPr>
          <w:rFonts w:asciiTheme="minorHAnsi" w:hAnsiTheme="minorHAnsi"/>
          <w:sz w:val="20"/>
        </w:rPr>
        <w:t xml:space="preserve"> reference to locate that measure</w:t>
      </w:r>
      <w:r w:rsidR="0016722C" w:rsidRPr="00EA1DAF">
        <w:rPr>
          <w:rFonts w:asciiTheme="minorHAnsi" w:hAnsiTheme="minorHAnsi"/>
          <w:sz w:val="20"/>
        </w:rPr>
        <w:t xml:space="preserve"> is included in the footnote.  Extrapolating </w:t>
      </w:r>
      <w:r w:rsidR="002D1B42" w:rsidRPr="00EA1DAF">
        <w:rPr>
          <w:rFonts w:asciiTheme="minorHAnsi" w:hAnsiTheme="minorHAnsi"/>
          <w:sz w:val="20"/>
        </w:rPr>
        <w:t xml:space="preserve">CPI </w:t>
      </w:r>
      <w:r w:rsidR="0016722C" w:rsidRPr="00EA1DAF">
        <w:rPr>
          <w:rFonts w:asciiTheme="minorHAnsi" w:hAnsiTheme="minorHAnsi"/>
          <w:sz w:val="20"/>
        </w:rPr>
        <w:t xml:space="preserve">medical component </w:t>
      </w:r>
      <w:r w:rsidR="002D1B42" w:rsidRPr="00EA1DAF">
        <w:rPr>
          <w:rFonts w:asciiTheme="minorHAnsi" w:hAnsiTheme="minorHAnsi"/>
          <w:sz w:val="20"/>
        </w:rPr>
        <w:t xml:space="preserve">indices </w:t>
      </w:r>
      <w:r w:rsidR="0016722C" w:rsidRPr="00EA1DAF">
        <w:rPr>
          <w:rFonts w:asciiTheme="minorHAnsi" w:hAnsiTheme="minorHAnsi"/>
          <w:sz w:val="20"/>
        </w:rPr>
        <w:t xml:space="preserve">is a standard economic forecasting method that </w:t>
      </w:r>
      <w:r w:rsidR="002D1B42" w:rsidRPr="00EA1DAF">
        <w:rPr>
          <w:rFonts w:asciiTheme="minorHAnsi" w:hAnsiTheme="minorHAnsi"/>
          <w:sz w:val="20"/>
        </w:rPr>
        <w:t xml:space="preserve">allows </w:t>
      </w:r>
      <w:r w:rsidR="0016722C" w:rsidRPr="00EA1DAF">
        <w:rPr>
          <w:rFonts w:asciiTheme="minorHAnsi" w:hAnsiTheme="minorHAnsi"/>
          <w:sz w:val="20"/>
        </w:rPr>
        <w:t xml:space="preserve">accurate and defensible </w:t>
      </w:r>
      <w:r w:rsidR="002D1B42" w:rsidRPr="00EA1DAF">
        <w:rPr>
          <w:rFonts w:asciiTheme="minorHAnsi" w:hAnsiTheme="minorHAnsi"/>
          <w:sz w:val="20"/>
        </w:rPr>
        <w:t>estimates to be de</w:t>
      </w:r>
      <w:r w:rsidR="0016722C" w:rsidRPr="00EA1DAF">
        <w:rPr>
          <w:rFonts w:asciiTheme="minorHAnsi" w:hAnsiTheme="minorHAnsi"/>
          <w:sz w:val="20"/>
        </w:rPr>
        <w:t xml:space="preserve">veloped.  </w:t>
      </w:r>
      <w:r w:rsidR="006A1E23" w:rsidRPr="00EA1DAF">
        <w:rPr>
          <w:rFonts w:asciiTheme="minorHAnsi" w:hAnsiTheme="minorHAnsi"/>
          <w:sz w:val="20"/>
        </w:rPr>
        <w:t xml:space="preserve">Whereas, </w:t>
      </w:r>
      <w:r w:rsidR="0016722C" w:rsidRPr="00EA1DAF">
        <w:rPr>
          <w:rFonts w:asciiTheme="minorHAnsi" w:hAnsiTheme="minorHAnsi"/>
          <w:sz w:val="20"/>
        </w:rPr>
        <w:t>the Office of Manag</w:t>
      </w:r>
      <w:r w:rsidR="00864D72" w:rsidRPr="00EA1DAF">
        <w:rPr>
          <w:rFonts w:asciiTheme="minorHAnsi" w:hAnsiTheme="minorHAnsi"/>
          <w:sz w:val="20"/>
        </w:rPr>
        <w:t xml:space="preserve">ement and Budget routinely applies non-medical related inflation rates to the IHS budget, which underestimate the true funding need for health care programs.  </w:t>
      </w:r>
    </w:p>
    <w:p w:rsidR="0016722C" w:rsidRPr="00EA1DAF" w:rsidRDefault="0016722C" w:rsidP="00DA138A">
      <w:pPr>
        <w:pStyle w:val="BodyText2"/>
        <w:spacing w:line="300" w:lineRule="exact"/>
        <w:rPr>
          <w:rFonts w:asciiTheme="minorHAnsi" w:hAnsiTheme="minorHAnsi"/>
          <w:sz w:val="20"/>
        </w:rPr>
      </w:pPr>
    </w:p>
    <w:p w:rsidR="00DA138A" w:rsidRPr="00EA1DAF" w:rsidRDefault="00DA138A" w:rsidP="00DA138A">
      <w:pPr>
        <w:pStyle w:val="BodyText2"/>
        <w:spacing w:line="300" w:lineRule="exact"/>
        <w:rPr>
          <w:rFonts w:asciiTheme="minorHAnsi" w:hAnsiTheme="minorHAnsi"/>
          <w:sz w:val="20"/>
        </w:rPr>
      </w:pPr>
      <w:r w:rsidRPr="00EA1DAF">
        <w:rPr>
          <w:rFonts w:asciiTheme="minorHAnsi" w:hAnsiTheme="minorHAnsi"/>
          <w:sz w:val="20"/>
        </w:rPr>
        <w:t xml:space="preserve">The Urban program line item is estimated </w:t>
      </w:r>
      <w:r w:rsidR="002D1B42" w:rsidRPr="00EA1DAF">
        <w:rPr>
          <w:rFonts w:asciiTheme="minorHAnsi" w:hAnsiTheme="minorHAnsi"/>
          <w:sz w:val="20"/>
        </w:rPr>
        <w:t xml:space="preserve">using the CPI chained index for Medical Care Services and includes prescription drugs, non-prescription and medical supplies, physician services, dental services, eyeglasses and eye care, and services by other medical professionals.  </w:t>
      </w:r>
      <w:r w:rsidRPr="00EA1DAF">
        <w:rPr>
          <w:rFonts w:asciiTheme="minorHAnsi" w:hAnsiTheme="minorHAnsi"/>
          <w:sz w:val="20"/>
        </w:rPr>
        <w:t>Estimates for Contract Support Costs (CSC) use the IHS yearly CSC Shor</w:t>
      </w:r>
      <w:r w:rsidR="0087030C">
        <w:rPr>
          <w:rFonts w:asciiTheme="minorHAnsi" w:hAnsiTheme="minorHAnsi"/>
          <w:sz w:val="20"/>
        </w:rPr>
        <w:t>tfall report amount.  T</w:t>
      </w:r>
      <w:r w:rsidRPr="00EA1DAF">
        <w:rPr>
          <w:rFonts w:asciiTheme="minorHAnsi" w:hAnsiTheme="minorHAnsi"/>
          <w:sz w:val="20"/>
        </w:rPr>
        <w:t xml:space="preserve">he facilities account </w:t>
      </w:r>
      <w:r w:rsidR="002D1B42" w:rsidRPr="00EA1DAF">
        <w:rPr>
          <w:rFonts w:asciiTheme="minorHAnsi" w:hAnsiTheme="minorHAnsi"/>
          <w:sz w:val="20"/>
        </w:rPr>
        <w:t>uses the general CPI index to measure inflation</w:t>
      </w:r>
      <w:r w:rsidRPr="00EA1DAF">
        <w:rPr>
          <w:rFonts w:asciiTheme="minorHAnsi" w:hAnsiTheme="minorHAnsi"/>
          <w:sz w:val="20"/>
        </w:rPr>
        <w:t xml:space="preserve">.  Finally, </w:t>
      </w:r>
      <w:r w:rsidR="002D1B42" w:rsidRPr="00EA1DAF">
        <w:rPr>
          <w:rFonts w:asciiTheme="minorHAnsi" w:hAnsiTheme="minorHAnsi"/>
          <w:sz w:val="20"/>
        </w:rPr>
        <w:t>2.1</w:t>
      </w:r>
      <w:r w:rsidRPr="00EA1DAF">
        <w:rPr>
          <w:rFonts w:asciiTheme="minorHAnsi" w:hAnsiTheme="minorHAnsi"/>
          <w:sz w:val="20"/>
        </w:rPr>
        <w:t xml:space="preserve">% rate of growth (same as the IHS rate) is used to estimate population growth.  </w:t>
      </w:r>
    </w:p>
    <w:p w:rsidR="0057191C" w:rsidRDefault="0057191C" w:rsidP="00DA138A">
      <w:pPr>
        <w:pStyle w:val="BodyText2"/>
        <w:spacing w:line="300" w:lineRule="exact"/>
        <w:rPr>
          <w:rFonts w:asciiTheme="minorHAnsi" w:hAnsiTheme="minorHAnsi"/>
          <w:sz w:val="20"/>
          <w:u w:val="single"/>
        </w:rPr>
      </w:pPr>
    </w:p>
    <w:p w:rsidR="00817A8A" w:rsidRPr="00EA1DAF" w:rsidRDefault="00817A8A" w:rsidP="00DA138A">
      <w:pPr>
        <w:pStyle w:val="BodyText2"/>
        <w:spacing w:line="300" w:lineRule="exact"/>
        <w:rPr>
          <w:rFonts w:asciiTheme="minorHAnsi" w:hAnsiTheme="minorHAnsi"/>
          <w:sz w:val="20"/>
        </w:rPr>
      </w:pPr>
      <w:r w:rsidRPr="00EA1DAF">
        <w:rPr>
          <w:rFonts w:asciiTheme="minorHAnsi" w:hAnsiTheme="minorHAnsi"/>
          <w:sz w:val="20"/>
          <w:u w:val="single"/>
        </w:rPr>
        <w:t>Recommendation:</w:t>
      </w:r>
      <w:r w:rsidRPr="00EA1DAF">
        <w:rPr>
          <w:rFonts w:asciiTheme="minorHAnsi" w:hAnsiTheme="minorHAnsi"/>
          <w:sz w:val="20"/>
        </w:rPr>
        <w:t xml:space="preserve">  Congress should provide an additional $70 million over the President’s request to fund mandatory costs and maintain current services.  The President and Congress must use real medical inflation </w:t>
      </w:r>
      <w:r w:rsidR="000A5444" w:rsidRPr="00EA1DAF">
        <w:rPr>
          <w:rFonts w:asciiTheme="minorHAnsi" w:hAnsiTheme="minorHAnsi"/>
          <w:sz w:val="20"/>
        </w:rPr>
        <w:t xml:space="preserve">projections when recommending funding for the IHS budget.  </w:t>
      </w:r>
    </w:p>
    <w:p w:rsidR="00287ED9" w:rsidRPr="00EA1DAF" w:rsidRDefault="00287ED9" w:rsidP="00C618D7">
      <w:pPr>
        <w:pStyle w:val="BodyText2"/>
        <w:spacing w:after="120"/>
        <w:rPr>
          <w:rFonts w:asciiTheme="minorHAnsi" w:hAnsiTheme="minorHAnsi"/>
          <w:b/>
          <w:i/>
        </w:rPr>
      </w:pPr>
      <w:bookmarkStart w:id="0" w:name="_Toc35984521"/>
      <w:r w:rsidRPr="00EA1DAF">
        <w:rPr>
          <w:rFonts w:asciiTheme="minorHAnsi" w:hAnsiTheme="minorHAnsi"/>
          <w:b/>
          <w:i/>
        </w:rPr>
        <w:t xml:space="preserve">Current Services Budget:  Maintaining the </w:t>
      </w:r>
      <w:r w:rsidR="003C7231" w:rsidRPr="00EA1DAF">
        <w:rPr>
          <w:rFonts w:asciiTheme="minorHAnsi" w:hAnsiTheme="minorHAnsi"/>
          <w:b/>
          <w:i/>
        </w:rPr>
        <w:t xml:space="preserve">existing </w:t>
      </w:r>
      <w:r w:rsidRPr="00EA1DAF">
        <w:rPr>
          <w:rFonts w:asciiTheme="minorHAnsi" w:hAnsiTheme="minorHAnsi"/>
          <w:b/>
          <w:i/>
        </w:rPr>
        <w:t>Health Program and the President’s Proposed FY 20</w:t>
      </w:r>
      <w:r w:rsidR="008F5B81" w:rsidRPr="00EA1DAF">
        <w:rPr>
          <w:rFonts w:asciiTheme="minorHAnsi" w:hAnsiTheme="minorHAnsi"/>
          <w:b/>
          <w:i/>
        </w:rPr>
        <w:t>10</w:t>
      </w:r>
      <w:r w:rsidRPr="00EA1DAF">
        <w:rPr>
          <w:rFonts w:asciiTheme="minorHAnsi" w:hAnsiTheme="minorHAnsi"/>
          <w:b/>
          <w:i/>
        </w:rPr>
        <w:t xml:space="preserve"> IHS Budget</w:t>
      </w:r>
      <w:bookmarkEnd w:id="0"/>
    </w:p>
    <w:p w:rsidR="000A5444" w:rsidRDefault="00287ED9" w:rsidP="00EA1DAF">
      <w:pPr>
        <w:pStyle w:val="BodyText2"/>
        <w:spacing w:line="300" w:lineRule="exact"/>
        <w:rPr>
          <w:rFonts w:asciiTheme="minorHAnsi" w:hAnsiTheme="minorHAnsi"/>
          <w:sz w:val="20"/>
        </w:rPr>
      </w:pPr>
      <w:r w:rsidRPr="00EA1DAF">
        <w:rPr>
          <w:rFonts w:asciiTheme="minorHAnsi" w:hAnsiTheme="minorHAnsi"/>
          <w:sz w:val="20"/>
        </w:rPr>
        <w:t xml:space="preserve">Current services estimates’ calculate mandatory costs increases necessary to maintain the current level of services.  These </w:t>
      </w:r>
      <w:r w:rsidR="004A1DEB" w:rsidRPr="00EA1DAF">
        <w:rPr>
          <w:rFonts w:asciiTheme="minorHAnsi" w:hAnsiTheme="minorHAnsi"/>
          <w:sz w:val="20"/>
        </w:rPr>
        <w:t>mandatory costs</w:t>
      </w:r>
      <w:r w:rsidRPr="00EA1DAF">
        <w:rPr>
          <w:rFonts w:asciiTheme="minorHAnsi" w:hAnsiTheme="minorHAnsi"/>
          <w:sz w:val="20"/>
        </w:rPr>
        <w:t xml:space="preserve"> are unavoidable and include medical and general inflation, pay costs, population growth</w:t>
      </w:r>
      <w:r w:rsidR="004A1DEB" w:rsidRPr="00EA1DAF">
        <w:rPr>
          <w:rFonts w:asciiTheme="minorHAnsi" w:hAnsiTheme="minorHAnsi"/>
          <w:sz w:val="20"/>
        </w:rPr>
        <w:t xml:space="preserve"> and contract support costs</w:t>
      </w:r>
      <w:r w:rsidRPr="00EA1DAF">
        <w:rPr>
          <w:rFonts w:asciiTheme="minorHAnsi" w:hAnsiTheme="minorHAnsi"/>
          <w:sz w:val="20"/>
        </w:rPr>
        <w:t>.  The Northwest Portland Area Indian Health Board estimates the FY 20</w:t>
      </w:r>
      <w:r w:rsidR="008F5B81" w:rsidRPr="00EA1DAF">
        <w:rPr>
          <w:rFonts w:asciiTheme="minorHAnsi" w:hAnsiTheme="minorHAnsi"/>
          <w:sz w:val="20"/>
        </w:rPr>
        <w:t>10</w:t>
      </w:r>
      <w:r w:rsidRPr="00EA1DAF">
        <w:rPr>
          <w:rFonts w:asciiTheme="minorHAnsi" w:hAnsiTheme="minorHAnsi"/>
          <w:sz w:val="20"/>
        </w:rPr>
        <w:t xml:space="preserve"> current services need to be </w:t>
      </w:r>
      <w:r w:rsidRPr="00EA1DAF">
        <w:rPr>
          <w:rFonts w:asciiTheme="minorHAnsi" w:hAnsiTheme="minorHAnsi"/>
          <w:sz w:val="20"/>
        </w:rPr>
        <w:lastRenderedPageBreak/>
        <w:t>approximately $</w:t>
      </w:r>
      <w:r w:rsidR="003C7231" w:rsidRPr="00EA1DAF">
        <w:rPr>
          <w:rFonts w:asciiTheme="minorHAnsi" w:hAnsiTheme="minorHAnsi"/>
          <w:sz w:val="20"/>
        </w:rPr>
        <w:t>4</w:t>
      </w:r>
      <w:r w:rsidR="004A1DEB" w:rsidRPr="00EA1DAF">
        <w:rPr>
          <w:rFonts w:asciiTheme="minorHAnsi" w:hAnsiTheme="minorHAnsi"/>
          <w:sz w:val="20"/>
        </w:rPr>
        <w:t>70</w:t>
      </w:r>
      <w:r w:rsidR="008F5B81" w:rsidRPr="00EA1DAF">
        <w:rPr>
          <w:rFonts w:asciiTheme="minorHAnsi" w:hAnsiTheme="minorHAnsi"/>
          <w:sz w:val="20"/>
        </w:rPr>
        <w:t xml:space="preserve"> </w:t>
      </w:r>
      <w:r w:rsidRPr="00EA1DAF">
        <w:rPr>
          <w:rFonts w:asciiTheme="minorHAnsi" w:hAnsiTheme="minorHAnsi"/>
          <w:sz w:val="20"/>
        </w:rPr>
        <w:t>million.  Th</w:t>
      </w:r>
      <w:r w:rsidR="004A1DEB" w:rsidRPr="00EA1DAF">
        <w:rPr>
          <w:rFonts w:asciiTheme="minorHAnsi" w:hAnsiTheme="minorHAnsi"/>
          <w:sz w:val="20"/>
        </w:rPr>
        <w:t xml:space="preserve">e </w:t>
      </w:r>
      <w:r w:rsidR="00C519E3" w:rsidRPr="00EA1DAF">
        <w:rPr>
          <w:rFonts w:asciiTheme="minorHAnsi" w:hAnsiTheme="minorHAnsi"/>
          <w:sz w:val="20"/>
        </w:rPr>
        <w:t xml:space="preserve">President’s </w:t>
      </w:r>
      <w:r w:rsidR="004A1DEB" w:rsidRPr="00EA1DAF">
        <w:rPr>
          <w:rFonts w:asciiTheme="minorHAnsi" w:hAnsiTheme="minorHAnsi"/>
          <w:sz w:val="20"/>
        </w:rPr>
        <w:t>proposed increase for the Indian Health Service is projected to be $</w:t>
      </w:r>
      <w:r w:rsidR="00C74F19" w:rsidRPr="00EA1DAF">
        <w:rPr>
          <w:rFonts w:asciiTheme="minorHAnsi" w:hAnsiTheme="minorHAnsi"/>
          <w:sz w:val="20"/>
        </w:rPr>
        <w:t>4</w:t>
      </w:r>
      <w:r w:rsidR="004A1DEB" w:rsidRPr="00EA1DAF">
        <w:rPr>
          <w:rFonts w:asciiTheme="minorHAnsi" w:hAnsiTheme="minorHAnsi"/>
          <w:sz w:val="20"/>
        </w:rPr>
        <w:t xml:space="preserve">15 </w:t>
      </w:r>
      <w:r w:rsidR="008F5B81" w:rsidRPr="00EA1DAF">
        <w:rPr>
          <w:rFonts w:asciiTheme="minorHAnsi" w:hAnsiTheme="minorHAnsi"/>
          <w:sz w:val="20"/>
        </w:rPr>
        <w:t xml:space="preserve">million </w:t>
      </w:r>
      <w:r w:rsidR="00C74F19" w:rsidRPr="00EA1DAF">
        <w:rPr>
          <w:rFonts w:asciiTheme="minorHAnsi" w:hAnsiTheme="minorHAnsi"/>
          <w:sz w:val="20"/>
        </w:rPr>
        <w:t xml:space="preserve">over the FY 2009 enacted level.  </w:t>
      </w:r>
      <w:r w:rsidR="008F5B81" w:rsidRPr="00EA1DAF">
        <w:rPr>
          <w:rFonts w:asciiTheme="minorHAnsi" w:hAnsiTheme="minorHAnsi"/>
          <w:sz w:val="20"/>
        </w:rPr>
        <w:t>Until the full budget details become available, the effect of the President’s proposal cannot be</w:t>
      </w:r>
      <w:r w:rsidR="00C74F19" w:rsidRPr="00EA1DAF">
        <w:rPr>
          <w:rFonts w:asciiTheme="minorHAnsi" w:hAnsiTheme="minorHAnsi"/>
          <w:sz w:val="20"/>
        </w:rPr>
        <w:t xml:space="preserve"> fully</w:t>
      </w:r>
      <w:r w:rsidR="008F5B81" w:rsidRPr="00EA1DAF">
        <w:rPr>
          <w:rFonts w:asciiTheme="minorHAnsi" w:hAnsiTheme="minorHAnsi"/>
          <w:sz w:val="20"/>
        </w:rPr>
        <w:t xml:space="preserve"> evaluated</w:t>
      </w:r>
      <w:r w:rsidR="00C74F19" w:rsidRPr="00EA1DAF">
        <w:rPr>
          <w:rFonts w:asciiTheme="minorHAnsi" w:hAnsiTheme="minorHAnsi"/>
          <w:sz w:val="20"/>
        </w:rPr>
        <w:t xml:space="preserve">.  If the projected increase of $415 million does not include collections from the Medicare, Medicaid, and staff quarters, </w:t>
      </w:r>
      <w:r w:rsidR="00C519E3" w:rsidRPr="00EA1DAF">
        <w:rPr>
          <w:rFonts w:asciiTheme="minorHAnsi" w:hAnsiTheme="minorHAnsi"/>
          <w:sz w:val="20"/>
        </w:rPr>
        <w:t>for the</w:t>
      </w:r>
      <w:r w:rsidR="008F5B81" w:rsidRPr="00EA1DAF">
        <w:rPr>
          <w:rFonts w:asciiTheme="minorHAnsi" w:hAnsiTheme="minorHAnsi"/>
          <w:sz w:val="20"/>
        </w:rPr>
        <w:t xml:space="preserve"> first time in ten years, comes close to </w:t>
      </w:r>
      <w:r w:rsidR="00BD6035" w:rsidRPr="00EA1DAF">
        <w:rPr>
          <w:rFonts w:asciiTheme="minorHAnsi" w:hAnsiTheme="minorHAnsi"/>
          <w:sz w:val="20"/>
        </w:rPr>
        <w:t xml:space="preserve">being </w:t>
      </w:r>
      <w:r w:rsidR="008F5B81" w:rsidRPr="00EA1DAF">
        <w:rPr>
          <w:rFonts w:asciiTheme="minorHAnsi" w:hAnsiTheme="minorHAnsi"/>
          <w:sz w:val="20"/>
        </w:rPr>
        <w:t xml:space="preserve">sufficient to maintain current services.  </w:t>
      </w:r>
      <w:r w:rsidR="00C74F19" w:rsidRPr="00EA1DAF">
        <w:rPr>
          <w:rFonts w:asciiTheme="minorHAnsi" w:hAnsiTheme="minorHAnsi"/>
          <w:sz w:val="20"/>
        </w:rPr>
        <w:t xml:space="preserve"> An additional $70 million is needed fully fund mandatory costs. </w:t>
      </w:r>
    </w:p>
    <w:p w:rsidR="00EA1DAF" w:rsidRDefault="00EA1DAF" w:rsidP="00EA1DAF">
      <w:pPr>
        <w:pStyle w:val="BodyText2"/>
        <w:spacing w:line="300" w:lineRule="exact"/>
        <w:rPr>
          <w:rFonts w:asciiTheme="minorHAnsi" w:hAnsiTheme="minorHAnsi"/>
          <w:sz w:val="20"/>
        </w:rPr>
      </w:pPr>
    </w:p>
    <w:p w:rsidR="004A54BE" w:rsidRPr="004A54BE" w:rsidRDefault="004A54BE" w:rsidP="004A54BE">
      <w:pPr>
        <w:pStyle w:val="BodyText2"/>
        <w:spacing w:after="120"/>
        <w:rPr>
          <w:rFonts w:asciiTheme="minorHAnsi" w:hAnsiTheme="minorHAnsi"/>
          <w:b/>
          <w:bCs/>
          <w:i/>
        </w:rPr>
      </w:pPr>
      <w:bookmarkStart w:id="1" w:name="_Toc35984514"/>
      <w:r w:rsidRPr="004A54BE">
        <w:rPr>
          <w:rFonts w:asciiTheme="minorHAnsi" w:hAnsiTheme="minorHAnsi"/>
          <w:b/>
          <w:bCs/>
          <w:i/>
        </w:rPr>
        <w:t>C</w:t>
      </w:r>
      <w:r>
        <w:rPr>
          <w:rFonts w:asciiTheme="minorHAnsi" w:hAnsiTheme="minorHAnsi"/>
          <w:b/>
          <w:bCs/>
          <w:i/>
        </w:rPr>
        <w:t xml:space="preserve">HS </w:t>
      </w:r>
      <w:r w:rsidRPr="004A54BE">
        <w:rPr>
          <w:rFonts w:asciiTheme="minorHAnsi" w:hAnsiTheme="minorHAnsi"/>
          <w:b/>
          <w:bCs/>
          <w:i/>
        </w:rPr>
        <w:t xml:space="preserve"> Denied</w:t>
      </w:r>
      <w:r>
        <w:rPr>
          <w:rFonts w:asciiTheme="minorHAnsi" w:hAnsiTheme="minorHAnsi"/>
          <w:b/>
          <w:bCs/>
          <w:i/>
        </w:rPr>
        <w:t xml:space="preserve"> and </w:t>
      </w:r>
      <w:r w:rsidRPr="004A54BE">
        <w:rPr>
          <w:rFonts w:asciiTheme="minorHAnsi" w:hAnsiTheme="minorHAnsi"/>
          <w:b/>
          <w:bCs/>
          <w:i/>
        </w:rPr>
        <w:t>Deferred Services will rise due to inadequate funding</w:t>
      </w:r>
      <w:bookmarkEnd w:id="1"/>
    </w:p>
    <w:p w:rsidR="004A54BE" w:rsidRPr="004A54BE" w:rsidRDefault="004A54BE" w:rsidP="004A54BE">
      <w:pPr>
        <w:pStyle w:val="BodyText2"/>
        <w:spacing w:line="300" w:lineRule="exact"/>
        <w:rPr>
          <w:rFonts w:asciiTheme="minorHAnsi" w:hAnsiTheme="minorHAnsi"/>
          <w:sz w:val="20"/>
        </w:rPr>
      </w:pPr>
      <w:r>
        <w:rPr>
          <w:rFonts w:asciiTheme="minorHAnsi" w:hAnsiTheme="minorHAnsi"/>
          <w:noProof/>
          <w:sz w:val="20"/>
        </w:rPr>
        <w:drawing>
          <wp:anchor distT="0" distB="0" distL="114300" distR="114300" simplePos="0" relativeHeight="251666432" behindDoc="1" locked="0" layoutInCell="1" allowOverlap="1">
            <wp:simplePos x="0" y="0"/>
            <wp:positionH relativeFrom="column">
              <wp:posOffset>3425190</wp:posOffset>
            </wp:positionH>
            <wp:positionV relativeFrom="paragraph">
              <wp:posOffset>156210</wp:posOffset>
            </wp:positionV>
            <wp:extent cx="3173730" cy="2083435"/>
            <wp:effectExtent l="19050" t="0" r="7620" b="0"/>
            <wp:wrapTight wrapText="bothSides">
              <wp:wrapPolygon edited="0">
                <wp:start x="-130" y="0"/>
                <wp:lineTo x="-130" y="21133"/>
                <wp:lineTo x="21652" y="21133"/>
                <wp:lineTo x="21652" y="0"/>
                <wp:lineTo x="-13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173730" cy="2083435"/>
                    </a:xfrm>
                    <a:prstGeom prst="rect">
                      <a:avLst/>
                    </a:prstGeom>
                    <a:noFill/>
                    <a:ln w="9525">
                      <a:noFill/>
                      <a:miter lim="800000"/>
                      <a:headEnd/>
                      <a:tailEnd/>
                    </a:ln>
                  </pic:spPr>
                </pic:pic>
              </a:graphicData>
            </a:graphic>
          </wp:anchor>
        </w:drawing>
      </w:r>
      <w:r w:rsidRPr="004A54BE">
        <w:rPr>
          <w:rFonts w:asciiTheme="minorHAnsi" w:hAnsiTheme="minorHAnsi"/>
          <w:sz w:val="20"/>
        </w:rPr>
        <w:t xml:space="preserve">There is strong evidence that </w:t>
      </w:r>
      <w:r>
        <w:rPr>
          <w:rFonts w:asciiTheme="minorHAnsi" w:hAnsiTheme="minorHAnsi"/>
          <w:sz w:val="20"/>
        </w:rPr>
        <w:t xml:space="preserve">Contract Health Services (CHS) </w:t>
      </w:r>
      <w:r w:rsidRPr="004A54BE">
        <w:rPr>
          <w:rFonts w:asciiTheme="minorHAnsi" w:hAnsiTheme="minorHAnsi"/>
          <w:sz w:val="20"/>
        </w:rPr>
        <w:t xml:space="preserve">services will be cut due to inadequate funding.  </w:t>
      </w:r>
      <w:r>
        <w:rPr>
          <w:rFonts w:asciiTheme="minorHAnsi" w:hAnsiTheme="minorHAnsi"/>
          <w:sz w:val="20"/>
        </w:rPr>
        <w:t xml:space="preserve">In FY 2001, </w:t>
      </w:r>
      <w:r w:rsidRPr="004A54BE">
        <w:rPr>
          <w:rFonts w:asciiTheme="minorHAnsi" w:hAnsiTheme="minorHAnsi"/>
          <w:sz w:val="20"/>
        </w:rPr>
        <w:t xml:space="preserve">the denied services </w:t>
      </w:r>
      <w:r>
        <w:rPr>
          <w:rFonts w:asciiTheme="minorHAnsi" w:hAnsiTheme="minorHAnsi"/>
          <w:sz w:val="20"/>
        </w:rPr>
        <w:t xml:space="preserve">in </w:t>
      </w:r>
      <w:r w:rsidRPr="004A54BE">
        <w:rPr>
          <w:rFonts w:asciiTheme="minorHAnsi" w:hAnsiTheme="minorHAnsi"/>
          <w:sz w:val="20"/>
        </w:rPr>
        <w:t xml:space="preserve">the </w:t>
      </w:r>
      <w:r>
        <w:rPr>
          <w:rFonts w:asciiTheme="minorHAnsi" w:hAnsiTheme="minorHAnsi"/>
          <w:sz w:val="20"/>
        </w:rPr>
        <w:t xml:space="preserve">CHS </w:t>
      </w:r>
      <w:r w:rsidRPr="004A54BE">
        <w:rPr>
          <w:rFonts w:asciiTheme="minorHAnsi" w:hAnsiTheme="minorHAnsi"/>
          <w:sz w:val="20"/>
        </w:rPr>
        <w:t xml:space="preserve">program fell for the first time in </w:t>
      </w:r>
      <w:r>
        <w:rPr>
          <w:rFonts w:asciiTheme="minorHAnsi" w:hAnsiTheme="minorHAnsi"/>
          <w:sz w:val="20"/>
        </w:rPr>
        <w:t xml:space="preserve">over </w:t>
      </w:r>
      <w:r w:rsidRPr="004A54BE">
        <w:rPr>
          <w:rFonts w:asciiTheme="minorHAnsi" w:hAnsiTheme="minorHAnsi"/>
          <w:sz w:val="20"/>
        </w:rPr>
        <w:t>five years</w:t>
      </w:r>
      <w:r>
        <w:rPr>
          <w:rFonts w:asciiTheme="minorHAnsi" w:hAnsiTheme="minorHAnsi"/>
          <w:sz w:val="20"/>
        </w:rPr>
        <w:t xml:space="preserve">.  </w:t>
      </w:r>
      <w:r w:rsidRPr="004A54BE">
        <w:rPr>
          <w:rFonts w:asciiTheme="minorHAnsi" w:hAnsiTheme="minorHAnsi"/>
          <w:sz w:val="20"/>
        </w:rPr>
        <w:t xml:space="preserve">Denied services are those cases that are within the medical priorities for care, however there simply </w:t>
      </w:r>
      <w:r>
        <w:rPr>
          <w:rFonts w:asciiTheme="minorHAnsi" w:hAnsiTheme="minorHAnsi"/>
          <w:sz w:val="20"/>
        </w:rPr>
        <w:t xml:space="preserve">is </w:t>
      </w:r>
      <w:r w:rsidRPr="004A54BE">
        <w:rPr>
          <w:rFonts w:asciiTheme="minorHAnsi" w:hAnsiTheme="minorHAnsi"/>
          <w:sz w:val="20"/>
        </w:rPr>
        <w:t>not enough funding to cover the case.  Thus</w:t>
      </w:r>
      <w:r>
        <w:rPr>
          <w:rFonts w:asciiTheme="minorHAnsi" w:hAnsiTheme="minorHAnsi"/>
          <w:sz w:val="20"/>
        </w:rPr>
        <w:t>,</w:t>
      </w:r>
      <w:r w:rsidRPr="004A54BE">
        <w:rPr>
          <w:rFonts w:asciiTheme="minorHAnsi" w:hAnsiTheme="minorHAnsi"/>
          <w:sz w:val="20"/>
        </w:rPr>
        <w:t xml:space="preserve"> the patient </w:t>
      </w:r>
      <w:r>
        <w:rPr>
          <w:rFonts w:asciiTheme="minorHAnsi" w:hAnsiTheme="minorHAnsi"/>
          <w:sz w:val="20"/>
        </w:rPr>
        <w:t xml:space="preserve">must </w:t>
      </w:r>
      <w:r w:rsidRPr="004A54BE">
        <w:rPr>
          <w:rFonts w:asciiTheme="minorHAnsi" w:hAnsiTheme="minorHAnsi"/>
          <w:sz w:val="20"/>
        </w:rPr>
        <w:t xml:space="preserve">go without </w:t>
      </w:r>
      <w:r>
        <w:rPr>
          <w:rFonts w:asciiTheme="minorHAnsi" w:hAnsiTheme="minorHAnsi"/>
          <w:sz w:val="20"/>
        </w:rPr>
        <w:t xml:space="preserve">receiving </w:t>
      </w:r>
      <w:r w:rsidRPr="004A54BE">
        <w:rPr>
          <w:rFonts w:asciiTheme="minorHAnsi" w:hAnsiTheme="minorHAnsi"/>
          <w:sz w:val="20"/>
        </w:rPr>
        <w:t>care.  Deferred services are those cases that are not within the medical priorities since there is not enough CHS funding and are left untreated.  In FY 2001, a significant increase for the CHS program allowed some services to be restored.  In 2001, the number of CHS denials declined for the first time since 1993.  In FY 200</w:t>
      </w:r>
      <w:r>
        <w:rPr>
          <w:rFonts w:asciiTheme="minorHAnsi" w:hAnsiTheme="minorHAnsi"/>
          <w:sz w:val="20"/>
        </w:rPr>
        <w:t>8</w:t>
      </w:r>
      <w:r w:rsidRPr="004A54BE">
        <w:rPr>
          <w:rFonts w:asciiTheme="minorHAnsi" w:hAnsiTheme="minorHAnsi"/>
          <w:sz w:val="20"/>
        </w:rPr>
        <w:t xml:space="preserve">, the IHS deferred payment for 158,784 recommended cases totaling $152 million.  This is the highest amount that deferred payments in the CHS program have ever been.  For the first time in five years these numbers dropped, however these reported amounts </w:t>
      </w:r>
      <w:r w:rsidRPr="004A54BE">
        <w:rPr>
          <w:rFonts w:asciiTheme="minorHAnsi" w:hAnsiTheme="minorHAnsi"/>
          <w:b/>
          <w:bCs/>
          <w:sz w:val="20"/>
          <w:u w:val="single"/>
        </w:rPr>
        <w:t>understate</w:t>
      </w:r>
      <w:r w:rsidRPr="004A54BE">
        <w:rPr>
          <w:rFonts w:asciiTheme="minorHAnsi" w:hAnsiTheme="minorHAnsi"/>
          <w:sz w:val="20"/>
        </w:rPr>
        <w:t xml:space="preserve"> the actual unmet need since many tribes no longer report denied or deferred services because of the expense involved in reporting.  More disturbing is that many IHS users do not even visit IHS facilities because they know they will be denied services due to funding shortfalls.</w:t>
      </w:r>
    </w:p>
    <w:p w:rsidR="004A54BE" w:rsidRPr="004A54BE" w:rsidRDefault="004A54BE" w:rsidP="004A54BE">
      <w:pPr>
        <w:pStyle w:val="BodyText2"/>
        <w:spacing w:line="300" w:lineRule="exact"/>
        <w:rPr>
          <w:rFonts w:asciiTheme="minorHAnsi" w:hAnsiTheme="minorHAnsi"/>
          <w:sz w:val="20"/>
        </w:rPr>
      </w:pPr>
    </w:p>
    <w:p w:rsidR="004A54BE" w:rsidRPr="004A54BE" w:rsidRDefault="004A54BE" w:rsidP="004A54BE">
      <w:pPr>
        <w:pStyle w:val="BodyText2"/>
        <w:spacing w:line="300" w:lineRule="exact"/>
        <w:rPr>
          <w:rFonts w:asciiTheme="minorHAnsi" w:hAnsiTheme="minorHAnsi"/>
          <w:sz w:val="20"/>
        </w:rPr>
      </w:pPr>
      <w:r w:rsidRPr="004A54BE">
        <w:rPr>
          <w:rFonts w:asciiTheme="minorHAnsi" w:hAnsiTheme="minorHAnsi"/>
          <w:sz w:val="20"/>
          <w:u w:val="single"/>
        </w:rPr>
        <w:t>Recommendation</w:t>
      </w:r>
      <w:r>
        <w:rPr>
          <w:rFonts w:asciiTheme="minorHAnsi" w:hAnsiTheme="minorHAnsi"/>
          <w:sz w:val="20"/>
        </w:rPr>
        <w:t xml:space="preserve">:  Inadequate </w:t>
      </w:r>
      <w:r w:rsidRPr="004A54BE">
        <w:rPr>
          <w:rFonts w:asciiTheme="minorHAnsi" w:hAnsiTheme="minorHAnsi"/>
          <w:sz w:val="20"/>
        </w:rPr>
        <w:t>increase</w:t>
      </w:r>
      <w:r>
        <w:rPr>
          <w:rFonts w:asciiTheme="minorHAnsi" w:hAnsiTheme="minorHAnsi"/>
          <w:sz w:val="20"/>
        </w:rPr>
        <w:t>s</w:t>
      </w:r>
      <w:r w:rsidRPr="004A54BE">
        <w:rPr>
          <w:rFonts w:asciiTheme="minorHAnsi" w:hAnsiTheme="minorHAnsi"/>
          <w:sz w:val="20"/>
        </w:rPr>
        <w:t xml:space="preserve"> for the CHS program will ultimately</w:t>
      </w:r>
      <w:r>
        <w:rPr>
          <w:rFonts w:asciiTheme="minorHAnsi" w:hAnsiTheme="minorHAnsi"/>
          <w:sz w:val="20"/>
        </w:rPr>
        <w:t xml:space="preserve"> mean </w:t>
      </w:r>
      <w:r w:rsidRPr="004A54BE">
        <w:rPr>
          <w:rFonts w:asciiTheme="minorHAnsi" w:hAnsiTheme="minorHAnsi"/>
          <w:sz w:val="20"/>
        </w:rPr>
        <w:t>increases in CHS denials once again in FY 20</w:t>
      </w:r>
      <w:r>
        <w:rPr>
          <w:rFonts w:asciiTheme="minorHAnsi" w:hAnsiTheme="minorHAnsi"/>
          <w:sz w:val="20"/>
        </w:rPr>
        <w:t>10</w:t>
      </w:r>
      <w:r w:rsidRPr="004A54BE">
        <w:rPr>
          <w:rFonts w:asciiTheme="minorHAnsi" w:hAnsiTheme="minorHAnsi"/>
          <w:sz w:val="20"/>
        </w:rPr>
        <w:t xml:space="preserve"> unless Congress restores and provides the IHS with an increase adequate to cover the costs of inflation and the growing Indian population.  </w:t>
      </w:r>
    </w:p>
    <w:p w:rsidR="004A54BE" w:rsidRDefault="004A54BE" w:rsidP="004A54BE">
      <w:pPr>
        <w:pStyle w:val="BodyText2"/>
        <w:spacing w:line="300" w:lineRule="exact"/>
        <w:rPr>
          <w:rFonts w:asciiTheme="minorHAnsi" w:hAnsiTheme="minorHAnsi"/>
          <w:sz w:val="20"/>
        </w:rPr>
      </w:pPr>
    </w:p>
    <w:p w:rsidR="00EA1DAF" w:rsidRDefault="00736D6A" w:rsidP="00EA1DAF">
      <w:pPr>
        <w:pStyle w:val="BodyText2"/>
        <w:spacing w:after="120" w:line="300" w:lineRule="exact"/>
        <w:rPr>
          <w:rFonts w:asciiTheme="minorHAnsi" w:hAnsiTheme="minorHAnsi"/>
          <w:b/>
          <w:i/>
        </w:rPr>
      </w:pPr>
      <w:r>
        <w:rPr>
          <w:rFonts w:asciiTheme="minorHAnsi" w:hAnsiTheme="minorHAnsi"/>
          <w:b/>
          <w:i/>
          <w:noProof/>
        </w:rPr>
        <w:drawing>
          <wp:anchor distT="0" distB="0" distL="114300" distR="114300" simplePos="0" relativeHeight="251658240" behindDoc="0" locked="0" layoutInCell="1" allowOverlap="1">
            <wp:simplePos x="0" y="0"/>
            <wp:positionH relativeFrom="column">
              <wp:posOffset>3331210</wp:posOffset>
            </wp:positionH>
            <wp:positionV relativeFrom="paragraph">
              <wp:posOffset>252730</wp:posOffset>
            </wp:positionV>
            <wp:extent cx="3267710" cy="18732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3267710" cy="1873250"/>
                    </a:xfrm>
                    <a:prstGeom prst="rect">
                      <a:avLst/>
                    </a:prstGeom>
                    <a:noFill/>
                    <a:ln w="9525">
                      <a:noFill/>
                      <a:miter lim="800000"/>
                      <a:headEnd/>
                      <a:tailEnd/>
                    </a:ln>
                  </pic:spPr>
                </pic:pic>
              </a:graphicData>
            </a:graphic>
          </wp:anchor>
        </w:drawing>
      </w:r>
      <w:r w:rsidR="00857C29" w:rsidRPr="00EA1DAF">
        <w:rPr>
          <w:rFonts w:asciiTheme="minorHAnsi" w:hAnsiTheme="minorHAnsi"/>
          <w:b/>
          <w:i/>
        </w:rPr>
        <w:t xml:space="preserve">Rescissions </w:t>
      </w:r>
      <w:r w:rsidR="00A17FEC" w:rsidRPr="00EA1DAF">
        <w:rPr>
          <w:rFonts w:asciiTheme="minorHAnsi" w:hAnsiTheme="minorHAnsi"/>
          <w:b/>
          <w:i/>
        </w:rPr>
        <w:t xml:space="preserve">continue to </w:t>
      </w:r>
      <w:r w:rsidR="00857C29" w:rsidRPr="00EA1DAF">
        <w:rPr>
          <w:rFonts w:asciiTheme="minorHAnsi" w:hAnsiTheme="minorHAnsi"/>
          <w:b/>
          <w:i/>
        </w:rPr>
        <w:t xml:space="preserve">effect on </w:t>
      </w:r>
      <w:r w:rsidR="00A17FEC" w:rsidRPr="00EA1DAF">
        <w:rPr>
          <w:rFonts w:asciiTheme="minorHAnsi" w:hAnsiTheme="minorHAnsi"/>
          <w:b/>
          <w:i/>
        </w:rPr>
        <w:t xml:space="preserve">the </w:t>
      </w:r>
      <w:r w:rsidR="00857C29" w:rsidRPr="00EA1DAF">
        <w:rPr>
          <w:rFonts w:asciiTheme="minorHAnsi" w:hAnsiTheme="minorHAnsi"/>
          <w:b/>
          <w:i/>
        </w:rPr>
        <w:t xml:space="preserve">IHS Budget </w:t>
      </w:r>
    </w:p>
    <w:p w:rsidR="0034188E" w:rsidRPr="00EA1DAF" w:rsidRDefault="00857C29" w:rsidP="00EA1DAF">
      <w:pPr>
        <w:pStyle w:val="BodyText2"/>
        <w:spacing w:line="300" w:lineRule="exact"/>
        <w:rPr>
          <w:rFonts w:asciiTheme="minorHAnsi" w:hAnsiTheme="minorHAnsi"/>
          <w:sz w:val="20"/>
        </w:rPr>
      </w:pPr>
      <w:r w:rsidRPr="00EA1DAF">
        <w:rPr>
          <w:rFonts w:asciiTheme="minorHAnsi" w:hAnsiTheme="minorHAnsi"/>
          <w:sz w:val="20"/>
        </w:rPr>
        <w:t xml:space="preserve">Rescissions have had a growing effect on Indian health programs over the last </w:t>
      </w:r>
      <w:r w:rsidR="00E54D77" w:rsidRPr="00EA1DAF">
        <w:rPr>
          <w:rFonts w:asciiTheme="minorHAnsi" w:hAnsiTheme="minorHAnsi"/>
          <w:sz w:val="20"/>
        </w:rPr>
        <w:t xml:space="preserve">six </w:t>
      </w:r>
      <w:r w:rsidRPr="00EA1DAF">
        <w:rPr>
          <w:rFonts w:asciiTheme="minorHAnsi" w:hAnsiTheme="minorHAnsi"/>
          <w:sz w:val="20"/>
        </w:rPr>
        <w:t xml:space="preserve">years.  The reductions as a percentage of the approved IHS budget are growing at a disproportionate rate.  </w:t>
      </w:r>
      <w:r w:rsidR="00E54D77" w:rsidRPr="00EA1DAF">
        <w:rPr>
          <w:rFonts w:asciiTheme="minorHAnsi" w:hAnsiTheme="minorHAnsi"/>
          <w:sz w:val="20"/>
        </w:rPr>
        <w:t xml:space="preserve">In FY 2007, the IHS did not have a rescission </w:t>
      </w:r>
      <w:r w:rsidR="007A30DF" w:rsidRPr="00EA1DAF">
        <w:rPr>
          <w:rFonts w:asciiTheme="minorHAnsi" w:hAnsiTheme="minorHAnsi"/>
          <w:sz w:val="20"/>
        </w:rPr>
        <w:t xml:space="preserve">because </w:t>
      </w:r>
      <w:r w:rsidR="00E54D77" w:rsidRPr="00EA1DAF">
        <w:rPr>
          <w:rFonts w:asciiTheme="minorHAnsi" w:hAnsiTheme="minorHAnsi"/>
          <w:sz w:val="20"/>
        </w:rPr>
        <w:t xml:space="preserve">Congress passed a year long continuing resolution.  Beginning six </w:t>
      </w:r>
      <w:r w:rsidRPr="00EA1DAF">
        <w:rPr>
          <w:rFonts w:asciiTheme="minorHAnsi" w:hAnsiTheme="minorHAnsi"/>
          <w:sz w:val="20"/>
        </w:rPr>
        <w:t xml:space="preserve">years ago, rescissions were a mere one percent of the approved IHS budget increase.  </w:t>
      </w:r>
      <w:r w:rsidR="007D219D" w:rsidRPr="00EA1DAF">
        <w:rPr>
          <w:rFonts w:asciiTheme="minorHAnsi" w:hAnsiTheme="minorHAnsi"/>
          <w:sz w:val="20"/>
        </w:rPr>
        <w:t xml:space="preserve">Three years ago, </w:t>
      </w:r>
      <w:r w:rsidRPr="00EA1DAF">
        <w:rPr>
          <w:rFonts w:asciiTheme="minorHAnsi" w:hAnsiTheme="minorHAnsi"/>
          <w:sz w:val="20"/>
        </w:rPr>
        <w:t xml:space="preserve">the rescissions </w:t>
      </w:r>
      <w:r w:rsidR="004E59FF" w:rsidRPr="00EA1DAF">
        <w:rPr>
          <w:rFonts w:asciiTheme="minorHAnsi" w:hAnsiTheme="minorHAnsi"/>
          <w:sz w:val="20"/>
        </w:rPr>
        <w:t xml:space="preserve">cut into </w:t>
      </w:r>
      <w:r w:rsidRPr="00EA1DAF">
        <w:rPr>
          <w:rFonts w:asciiTheme="minorHAnsi" w:hAnsiTheme="minorHAnsi"/>
          <w:sz w:val="20"/>
        </w:rPr>
        <w:t xml:space="preserve">almost half of the approved IHS budget increase.  </w:t>
      </w:r>
      <w:r w:rsidR="007A30DF" w:rsidRPr="00EA1DAF">
        <w:rPr>
          <w:rFonts w:asciiTheme="minorHAnsi" w:hAnsiTheme="minorHAnsi"/>
          <w:sz w:val="20"/>
        </w:rPr>
        <w:t>W</w:t>
      </w:r>
      <w:r w:rsidRPr="00EA1DAF">
        <w:rPr>
          <w:rFonts w:asciiTheme="minorHAnsi" w:hAnsiTheme="minorHAnsi"/>
          <w:sz w:val="20"/>
        </w:rPr>
        <w:t xml:space="preserve">hy </w:t>
      </w:r>
      <w:r w:rsidR="007A30DF" w:rsidRPr="00EA1DAF">
        <w:rPr>
          <w:rFonts w:asciiTheme="minorHAnsi" w:hAnsiTheme="minorHAnsi"/>
          <w:sz w:val="20"/>
        </w:rPr>
        <w:t xml:space="preserve">aren’t </w:t>
      </w:r>
      <w:r w:rsidRPr="00EA1DAF">
        <w:rPr>
          <w:rFonts w:asciiTheme="minorHAnsi" w:hAnsiTheme="minorHAnsi"/>
          <w:sz w:val="20"/>
        </w:rPr>
        <w:t xml:space="preserve">IHS health programs exempt from across-the-board reductions like </w:t>
      </w:r>
      <w:r w:rsidR="007A30DF" w:rsidRPr="00EA1DAF">
        <w:rPr>
          <w:rFonts w:asciiTheme="minorHAnsi" w:hAnsiTheme="minorHAnsi"/>
          <w:sz w:val="20"/>
        </w:rPr>
        <w:t xml:space="preserve">the </w:t>
      </w:r>
      <w:r w:rsidRPr="00EA1DAF">
        <w:rPr>
          <w:rFonts w:asciiTheme="minorHAnsi" w:hAnsiTheme="minorHAnsi"/>
          <w:sz w:val="20"/>
        </w:rPr>
        <w:t>Veterans Administration (VA) programs</w:t>
      </w:r>
      <w:r w:rsidR="007A30DF" w:rsidRPr="00EA1DAF">
        <w:rPr>
          <w:rFonts w:asciiTheme="minorHAnsi" w:hAnsiTheme="minorHAnsi"/>
          <w:sz w:val="20"/>
        </w:rPr>
        <w:t>?</w:t>
      </w:r>
      <w:r w:rsidRPr="00EA1DAF">
        <w:rPr>
          <w:rFonts w:asciiTheme="minorHAnsi" w:hAnsiTheme="minorHAnsi"/>
          <w:sz w:val="20"/>
        </w:rPr>
        <w:t xml:space="preserve">  IHS health programs are subject to the same rates of medical inflation that VA programs are and </w:t>
      </w:r>
      <w:r w:rsidR="007A30DF" w:rsidRPr="00EA1DAF">
        <w:rPr>
          <w:rFonts w:asciiTheme="minorHAnsi" w:hAnsiTheme="minorHAnsi"/>
          <w:sz w:val="20"/>
        </w:rPr>
        <w:t xml:space="preserve">are deserving of the </w:t>
      </w:r>
      <w:r w:rsidRPr="00EA1DAF">
        <w:rPr>
          <w:rFonts w:asciiTheme="minorHAnsi" w:hAnsiTheme="minorHAnsi"/>
          <w:sz w:val="20"/>
        </w:rPr>
        <w:t xml:space="preserve">same consideration.  </w:t>
      </w:r>
      <w:r w:rsidR="007D219D" w:rsidRPr="00EA1DAF">
        <w:rPr>
          <w:rFonts w:asciiTheme="minorHAnsi" w:hAnsiTheme="minorHAnsi"/>
          <w:sz w:val="20"/>
        </w:rPr>
        <w:t xml:space="preserve">If the Administration and Congress are </w:t>
      </w:r>
      <w:r w:rsidR="007A30DF" w:rsidRPr="00EA1DAF">
        <w:rPr>
          <w:rFonts w:asciiTheme="minorHAnsi" w:hAnsiTheme="minorHAnsi"/>
          <w:sz w:val="20"/>
        </w:rPr>
        <w:t xml:space="preserve">resolved to </w:t>
      </w:r>
      <w:r w:rsidR="007D219D" w:rsidRPr="00EA1DAF">
        <w:rPr>
          <w:rFonts w:asciiTheme="minorHAnsi" w:hAnsiTheme="minorHAnsi"/>
          <w:sz w:val="20"/>
        </w:rPr>
        <w:t xml:space="preserve">address Indian health disparities, </w:t>
      </w:r>
      <w:r w:rsidR="007A30DF" w:rsidRPr="00EA1DAF">
        <w:rPr>
          <w:rFonts w:asciiTheme="minorHAnsi" w:hAnsiTheme="minorHAnsi"/>
          <w:sz w:val="20"/>
        </w:rPr>
        <w:t xml:space="preserve">they </w:t>
      </w:r>
      <w:r w:rsidR="007D219D" w:rsidRPr="00EA1DAF">
        <w:rPr>
          <w:rFonts w:asciiTheme="minorHAnsi" w:hAnsiTheme="minorHAnsi"/>
          <w:sz w:val="20"/>
        </w:rPr>
        <w:t xml:space="preserve">must restore past year’s rescissions and exempt them from future cuts. </w:t>
      </w:r>
    </w:p>
    <w:p w:rsidR="00017D97" w:rsidRPr="00EA1DAF" w:rsidRDefault="007D219D" w:rsidP="00EA1DAF">
      <w:pPr>
        <w:pStyle w:val="BodyText2"/>
        <w:spacing w:line="300" w:lineRule="exact"/>
        <w:rPr>
          <w:rFonts w:asciiTheme="minorHAnsi" w:hAnsiTheme="minorHAnsi"/>
          <w:sz w:val="20"/>
        </w:rPr>
      </w:pPr>
      <w:r w:rsidRPr="00EA1DAF">
        <w:rPr>
          <w:rFonts w:asciiTheme="minorHAnsi" w:hAnsiTheme="minorHAnsi"/>
          <w:sz w:val="20"/>
        </w:rPr>
        <w:t xml:space="preserve"> </w:t>
      </w:r>
    </w:p>
    <w:p w:rsidR="00231BCB" w:rsidRPr="00EA1DAF" w:rsidRDefault="00231BCB" w:rsidP="00E07B02">
      <w:pPr>
        <w:pStyle w:val="BodyText2"/>
        <w:spacing w:after="120" w:line="300" w:lineRule="exact"/>
        <w:rPr>
          <w:rFonts w:asciiTheme="minorHAnsi" w:hAnsiTheme="minorHAnsi"/>
          <w:b/>
          <w:i/>
          <w:spacing w:val="-3"/>
        </w:rPr>
      </w:pPr>
      <w:r w:rsidRPr="00EA1DAF">
        <w:rPr>
          <w:rFonts w:asciiTheme="minorHAnsi" w:hAnsiTheme="minorHAnsi"/>
          <w:b/>
          <w:i/>
          <w:spacing w:val="-3"/>
        </w:rPr>
        <w:lastRenderedPageBreak/>
        <w:t>FY 20</w:t>
      </w:r>
      <w:r w:rsidR="008F5B81" w:rsidRPr="00EA1DAF">
        <w:rPr>
          <w:rFonts w:asciiTheme="minorHAnsi" w:hAnsiTheme="minorHAnsi"/>
          <w:b/>
          <w:i/>
          <w:spacing w:val="-3"/>
        </w:rPr>
        <w:t>10</w:t>
      </w:r>
      <w:r w:rsidRPr="00EA1DAF">
        <w:rPr>
          <w:rFonts w:asciiTheme="minorHAnsi" w:hAnsiTheme="minorHAnsi"/>
          <w:b/>
          <w:i/>
          <w:spacing w:val="-3"/>
        </w:rPr>
        <w:t xml:space="preserve"> Budget Recommendation</w:t>
      </w:r>
      <w:r w:rsidR="00E07B02" w:rsidRPr="00EA1DAF">
        <w:rPr>
          <w:rFonts w:asciiTheme="minorHAnsi" w:hAnsiTheme="minorHAnsi"/>
          <w:b/>
          <w:i/>
          <w:spacing w:val="-3"/>
        </w:rPr>
        <w:t>s</w:t>
      </w:r>
      <w:r w:rsidRPr="00EA1DAF">
        <w:rPr>
          <w:rFonts w:asciiTheme="minorHAnsi" w:hAnsiTheme="minorHAnsi"/>
          <w:b/>
          <w:i/>
          <w:spacing w:val="-3"/>
        </w:rPr>
        <w:t xml:space="preserve"> </w:t>
      </w:r>
    </w:p>
    <w:p w:rsidR="002C60AB" w:rsidRPr="00EA1DAF" w:rsidRDefault="00EC4DF9" w:rsidP="00615B07">
      <w:pPr>
        <w:spacing w:line="300" w:lineRule="exact"/>
        <w:rPr>
          <w:rFonts w:asciiTheme="minorHAnsi" w:hAnsiTheme="minorHAnsi"/>
          <w:spacing w:val="-3"/>
          <w:sz w:val="20"/>
          <w:szCs w:val="20"/>
        </w:rPr>
      </w:pPr>
      <w:r w:rsidRPr="00EA1DAF">
        <w:rPr>
          <w:rFonts w:asciiTheme="minorHAnsi" w:hAnsiTheme="minorHAnsi"/>
          <w:spacing w:val="-3"/>
          <w:sz w:val="20"/>
          <w:szCs w:val="20"/>
        </w:rPr>
        <w:t xml:space="preserve">The Indian health system has made great strides to improve the health status of American Indian people.  </w:t>
      </w:r>
      <w:r w:rsidR="008F5B81" w:rsidRPr="00EA1DAF">
        <w:rPr>
          <w:rFonts w:asciiTheme="minorHAnsi" w:hAnsiTheme="minorHAnsi"/>
          <w:spacing w:val="-3"/>
          <w:sz w:val="20"/>
          <w:szCs w:val="20"/>
        </w:rPr>
        <w:t xml:space="preserve">The President and </w:t>
      </w:r>
      <w:r w:rsidRPr="00EA1DAF">
        <w:rPr>
          <w:rFonts w:asciiTheme="minorHAnsi" w:hAnsiTheme="minorHAnsi"/>
          <w:spacing w:val="-3"/>
          <w:sz w:val="20"/>
          <w:szCs w:val="20"/>
        </w:rPr>
        <w:t xml:space="preserve">Congress </w:t>
      </w:r>
      <w:r w:rsidR="008F5B81" w:rsidRPr="00EA1DAF">
        <w:rPr>
          <w:rFonts w:asciiTheme="minorHAnsi" w:hAnsiTheme="minorHAnsi"/>
          <w:spacing w:val="-3"/>
          <w:sz w:val="20"/>
          <w:szCs w:val="20"/>
        </w:rPr>
        <w:t xml:space="preserve">must continue to work to </w:t>
      </w:r>
      <w:r w:rsidRPr="00EA1DAF">
        <w:rPr>
          <w:rFonts w:asciiTheme="minorHAnsi" w:hAnsiTheme="minorHAnsi"/>
          <w:spacing w:val="-3"/>
          <w:sz w:val="20"/>
          <w:szCs w:val="20"/>
        </w:rPr>
        <w:t xml:space="preserve">restore the funding that </w:t>
      </w:r>
      <w:r w:rsidR="008F5B81" w:rsidRPr="00EA1DAF">
        <w:rPr>
          <w:rFonts w:asciiTheme="minorHAnsi" w:hAnsiTheme="minorHAnsi"/>
          <w:spacing w:val="-3"/>
          <w:sz w:val="20"/>
          <w:szCs w:val="20"/>
        </w:rPr>
        <w:t xml:space="preserve">has been lost under the previous Administration or the gains in health status will </w:t>
      </w:r>
      <w:r w:rsidRPr="00EA1DAF">
        <w:rPr>
          <w:rFonts w:asciiTheme="minorHAnsi" w:hAnsiTheme="minorHAnsi"/>
          <w:spacing w:val="-3"/>
          <w:sz w:val="20"/>
          <w:szCs w:val="20"/>
        </w:rPr>
        <w:t>be reversed</w:t>
      </w:r>
      <w:r w:rsidR="008F5B81" w:rsidRPr="00EA1DAF">
        <w:rPr>
          <w:rFonts w:asciiTheme="minorHAnsi" w:hAnsiTheme="minorHAnsi"/>
          <w:spacing w:val="-3"/>
          <w:sz w:val="20"/>
          <w:szCs w:val="20"/>
        </w:rPr>
        <w:t xml:space="preserve"> and AI/AN health disparities will continue to grow</w:t>
      </w:r>
      <w:r w:rsidRPr="00EA1DAF">
        <w:rPr>
          <w:rFonts w:asciiTheme="minorHAnsi" w:hAnsiTheme="minorHAnsi"/>
          <w:spacing w:val="-3"/>
          <w:sz w:val="20"/>
          <w:szCs w:val="20"/>
        </w:rPr>
        <w:t xml:space="preserve">.  </w:t>
      </w:r>
      <w:r w:rsidR="00C14D29" w:rsidRPr="00EA1DAF">
        <w:rPr>
          <w:rFonts w:asciiTheme="minorHAnsi" w:hAnsiTheme="minorHAnsi"/>
          <w:spacing w:val="-3"/>
          <w:sz w:val="20"/>
          <w:szCs w:val="20"/>
        </w:rPr>
        <w:t>The current economic conditions are also affecting the Indian health system, which has seen a</w:t>
      </w:r>
      <w:r w:rsidR="002C60AB" w:rsidRPr="00EA1DAF">
        <w:rPr>
          <w:rFonts w:asciiTheme="minorHAnsi" w:hAnsiTheme="minorHAnsi"/>
          <w:spacing w:val="-3"/>
          <w:sz w:val="20"/>
          <w:szCs w:val="20"/>
        </w:rPr>
        <w:t xml:space="preserve"> rise in the demand for </w:t>
      </w:r>
      <w:r w:rsidR="00C14D29" w:rsidRPr="00EA1DAF">
        <w:rPr>
          <w:rFonts w:asciiTheme="minorHAnsi" w:hAnsiTheme="minorHAnsi"/>
          <w:spacing w:val="-3"/>
          <w:sz w:val="20"/>
          <w:szCs w:val="20"/>
        </w:rPr>
        <w:t xml:space="preserve">health </w:t>
      </w:r>
      <w:r w:rsidR="002C60AB" w:rsidRPr="00EA1DAF">
        <w:rPr>
          <w:rFonts w:asciiTheme="minorHAnsi" w:hAnsiTheme="minorHAnsi"/>
          <w:spacing w:val="-3"/>
          <w:sz w:val="20"/>
          <w:szCs w:val="20"/>
        </w:rPr>
        <w:t xml:space="preserve">service </w:t>
      </w:r>
      <w:r w:rsidR="00C14D29" w:rsidRPr="00EA1DAF">
        <w:rPr>
          <w:rFonts w:asciiTheme="minorHAnsi" w:hAnsiTheme="minorHAnsi"/>
          <w:spacing w:val="-3"/>
          <w:sz w:val="20"/>
          <w:szCs w:val="20"/>
        </w:rPr>
        <w:t xml:space="preserve">and more individuals without third party </w:t>
      </w:r>
      <w:r w:rsidR="002C60AB" w:rsidRPr="00EA1DAF">
        <w:rPr>
          <w:rFonts w:asciiTheme="minorHAnsi" w:hAnsiTheme="minorHAnsi"/>
          <w:spacing w:val="-3"/>
          <w:sz w:val="20"/>
          <w:szCs w:val="20"/>
        </w:rPr>
        <w:t xml:space="preserve">coverage like Medicaid or private </w:t>
      </w:r>
      <w:r w:rsidR="00C14D29" w:rsidRPr="00EA1DAF">
        <w:rPr>
          <w:rFonts w:asciiTheme="minorHAnsi" w:hAnsiTheme="minorHAnsi"/>
          <w:spacing w:val="-3"/>
          <w:sz w:val="20"/>
          <w:szCs w:val="20"/>
        </w:rPr>
        <w:t xml:space="preserve">insurance.  This means the IHS and Tribes cannot bill for third party collections that </w:t>
      </w:r>
      <w:r w:rsidR="002C60AB" w:rsidRPr="00EA1DAF">
        <w:rPr>
          <w:rFonts w:asciiTheme="minorHAnsi" w:hAnsiTheme="minorHAnsi"/>
          <w:spacing w:val="-3"/>
          <w:sz w:val="20"/>
          <w:szCs w:val="20"/>
        </w:rPr>
        <w:t xml:space="preserve">were once </w:t>
      </w:r>
      <w:r w:rsidR="00C14D29" w:rsidRPr="00EA1DAF">
        <w:rPr>
          <w:rFonts w:asciiTheme="minorHAnsi" w:hAnsiTheme="minorHAnsi"/>
          <w:spacing w:val="-3"/>
          <w:sz w:val="20"/>
          <w:szCs w:val="20"/>
        </w:rPr>
        <w:t xml:space="preserve">used to </w:t>
      </w:r>
      <w:r w:rsidR="002C60AB" w:rsidRPr="00EA1DAF">
        <w:rPr>
          <w:rFonts w:asciiTheme="minorHAnsi" w:hAnsiTheme="minorHAnsi"/>
          <w:spacing w:val="-3"/>
          <w:sz w:val="20"/>
          <w:szCs w:val="20"/>
        </w:rPr>
        <w:t xml:space="preserve">replenish IHS resources and </w:t>
      </w:r>
      <w:r w:rsidR="00C14D29" w:rsidRPr="00EA1DAF">
        <w:rPr>
          <w:rFonts w:asciiTheme="minorHAnsi" w:hAnsiTheme="minorHAnsi"/>
          <w:spacing w:val="-3"/>
          <w:sz w:val="20"/>
          <w:szCs w:val="20"/>
        </w:rPr>
        <w:t xml:space="preserve">expand </w:t>
      </w:r>
      <w:r w:rsidR="002C60AB" w:rsidRPr="00EA1DAF">
        <w:rPr>
          <w:rFonts w:asciiTheme="minorHAnsi" w:hAnsiTheme="minorHAnsi"/>
          <w:spacing w:val="-3"/>
          <w:sz w:val="20"/>
          <w:szCs w:val="20"/>
        </w:rPr>
        <w:t>services</w:t>
      </w:r>
      <w:r w:rsidR="00C14D29" w:rsidRPr="00EA1DAF">
        <w:rPr>
          <w:rFonts w:asciiTheme="minorHAnsi" w:hAnsiTheme="minorHAnsi"/>
          <w:spacing w:val="-3"/>
          <w:sz w:val="20"/>
          <w:szCs w:val="20"/>
        </w:rPr>
        <w:t xml:space="preserve"> </w:t>
      </w:r>
      <w:r w:rsidR="002C60AB" w:rsidRPr="00EA1DAF">
        <w:rPr>
          <w:rFonts w:asciiTheme="minorHAnsi" w:hAnsiTheme="minorHAnsi"/>
          <w:spacing w:val="-3"/>
          <w:sz w:val="20"/>
          <w:szCs w:val="20"/>
        </w:rPr>
        <w:t xml:space="preserve">to </w:t>
      </w:r>
      <w:r w:rsidR="00C14D29" w:rsidRPr="00EA1DAF">
        <w:rPr>
          <w:rFonts w:asciiTheme="minorHAnsi" w:hAnsiTheme="minorHAnsi"/>
          <w:spacing w:val="-3"/>
          <w:sz w:val="20"/>
          <w:szCs w:val="20"/>
        </w:rPr>
        <w:t xml:space="preserve">other Tribal members.  IHS and Tribes must now do even more with less. </w:t>
      </w:r>
      <w:r w:rsidR="00273A6B" w:rsidRPr="00EA1DAF">
        <w:rPr>
          <w:rFonts w:asciiTheme="minorHAnsi" w:hAnsiTheme="minorHAnsi"/>
          <w:spacing w:val="-3"/>
          <w:sz w:val="20"/>
          <w:szCs w:val="20"/>
        </w:rPr>
        <w:t xml:space="preserve">  NPAIHB makes the following recommendations:  </w:t>
      </w:r>
    </w:p>
    <w:p w:rsidR="00273A6B" w:rsidRPr="00EA1DAF" w:rsidRDefault="00273A6B" w:rsidP="00615B07">
      <w:pPr>
        <w:spacing w:line="300" w:lineRule="exact"/>
        <w:rPr>
          <w:rFonts w:asciiTheme="minorHAnsi" w:hAnsiTheme="minorHAnsi"/>
          <w:spacing w:val="-3"/>
          <w:sz w:val="20"/>
          <w:szCs w:val="20"/>
        </w:rPr>
      </w:pPr>
    </w:p>
    <w:p w:rsidR="00273A6B" w:rsidRPr="00EA1DAF" w:rsidRDefault="00273A6B" w:rsidP="00273A6B">
      <w:pPr>
        <w:pStyle w:val="ListParagraph"/>
        <w:numPr>
          <w:ilvl w:val="0"/>
          <w:numId w:val="2"/>
        </w:numPr>
        <w:spacing w:after="120" w:line="300" w:lineRule="exact"/>
        <w:contextualSpacing w:val="0"/>
        <w:rPr>
          <w:rFonts w:asciiTheme="minorHAnsi" w:hAnsiTheme="minorHAnsi"/>
          <w:spacing w:val="-3"/>
          <w:sz w:val="20"/>
          <w:szCs w:val="20"/>
        </w:rPr>
      </w:pPr>
      <w:r w:rsidRPr="00EA1DAF">
        <w:rPr>
          <w:rFonts w:asciiTheme="minorHAnsi" w:hAnsiTheme="minorHAnsi"/>
          <w:spacing w:val="-3"/>
          <w:sz w:val="20"/>
          <w:szCs w:val="20"/>
        </w:rPr>
        <w:t xml:space="preserve">Congress must provide at least $70 million more than the President’s request to fund mandatory costs associated with maintaining current services.  </w:t>
      </w:r>
    </w:p>
    <w:p w:rsidR="00273A6B" w:rsidRPr="00EA1DAF" w:rsidRDefault="00273A6B" w:rsidP="00273A6B">
      <w:pPr>
        <w:pStyle w:val="ListParagraph"/>
        <w:numPr>
          <w:ilvl w:val="0"/>
          <w:numId w:val="2"/>
        </w:numPr>
        <w:spacing w:after="120" w:line="300" w:lineRule="exact"/>
        <w:contextualSpacing w:val="0"/>
        <w:rPr>
          <w:rFonts w:asciiTheme="minorHAnsi" w:hAnsiTheme="minorHAnsi"/>
          <w:spacing w:val="-3"/>
          <w:sz w:val="20"/>
          <w:szCs w:val="20"/>
        </w:rPr>
      </w:pPr>
      <w:r w:rsidRPr="00EA1DAF">
        <w:rPr>
          <w:rFonts w:asciiTheme="minorHAnsi" w:hAnsiTheme="minorHAnsi"/>
          <w:spacing w:val="-3"/>
          <w:sz w:val="20"/>
          <w:szCs w:val="20"/>
        </w:rPr>
        <w:t xml:space="preserve">The President and Congress should restore the $711 million in lost purchasing power to the IHS appropriation by providing adequate increases over the next two fiscal years. </w:t>
      </w:r>
    </w:p>
    <w:p w:rsidR="00273A6B" w:rsidRPr="00EA1DAF" w:rsidRDefault="00273A6B" w:rsidP="00833282">
      <w:pPr>
        <w:pStyle w:val="ListParagraph"/>
        <w:numPr>
          <w:ilvl w:val="0"/>
          <w:numId w:val="2"/>
        </w:numPr>
        <w:spacing w:after="120" w:line="300" w:lineRule="exact"/>
        <w:contextualSpacing w:val="0"/>
        <w:rPr>
          <w:rFonts w:asciiTheme="minorHAnsi" w:hAnsiTheme="minorHAnsi"/>
          <w:spacing w:val="-3"/>
          <w:sz w:val="20"/>
          <w:szCs w:val="20"/>
        </w:rPr>
      </w:pPr>
      <w:r w:rsidRPr="00EA1DAF">
        <w:rPr>
          <w:rFonts w:asciiTheme="minorHAnsi" w:hAnsiTheme="minorHAnsi"/>
          <w:spacing w:val="-3"/>
          <w:sz w:val="20"/>
          <w:szCs w:val="20"/>
        </w:rPr>
        <w:t xml:space="preserve">It is recommended that Congress provide the IHS with a special appropriation to phase-in staffing at the two new facilities funded by the American Investment and Recovery Act.  </w:t>
      </w:r>
    </w:p>
    <w:p w:rsidR="00833282" w:rsidRPr="00EA1DAF" w:rsidRDefault="00833282" w:rsidP="00273A6B">
      <w:pPr>
        <w:pStyle w:val="ListParagraph"/>
        <w:numPr>
          <w:ilvl w:val="0"/>
          <w:numId w:val="2"/>
        </w:numPr>
        <w:spacing w:line="300" w:lineRule="exact"/>
        <w:rPr>
          <w:rFonts w:asciiTheme="minorHAnsi" w:hAnsiTheme="minorHAnsi"/>
          <w:spacing w:val="-3"/>
          <w:sz w:val="20"/>
          <w:szCs w:val="20"/>
        </w:rPr>
      </w:pPr>
      <w:r w:rsidRPr="00EA1DAF">
        <w:rPr>
          <w:rFonts w:asciiTheme="minorHAnsi" w:hAnsiTheme="minorHAnsi"/>
          <w:spacing w:val="-3"/>
          <w:sz w:val="20"/>
          <w:szCs w:val="20"/>
        </w:rPr>
        <w:t xml:space="preserve">The IHS budget should be exempt from across the board cuts </w:t>
      </w:r>
    </w:p>
    <w:p w:rsidR="002C60AB" w:rsidRPr="00EA1DAF" w:rsidRDefault="002C60AB" w:rsidP="00615B07">
      <w:pPr>
        <w:spacing w:line="300" w:lineRule="exact"/>
        <w:rPr>
          <w:rFonts w:asciiTheme="minorHAnsi" w:hAnsiTheme="minorHAnsi"/>
          <w:spacing w:val="-3"/>
          <w:sz w:val="20"/>
          <w:szCs w:val="20"/>
        </w:rPr>
      </w:pPr>
    </w:p>
    <w:p w:rsidR="00A74885" w:rsidRPr="00EA1DAF" w:rsidRDefault="00C14D29" w:rsidP="00615B07">
      <w:pPr>
        <w:spacing w:line="300" w:lineRule="exact"/>
        <w:rPr>
          <w:rFonts w:asciiTheme="minorHAnsi" w:hAnsiTheme="minorHAnsi"/>
          <w:spacing w:val="-3"/>
          <w:sz w:val="20"/>
          <w:szCs w:val="20"/>
        </w:rPr>
      </w:pPr>
      <w:r w:rsidRPr="00EA1DAF">
        <w:rPr>
          <w:rFonts w:asciiTheme="minorHAnsi" w:hAnsiTheme="minorHAnsi"/>
          <w:spacing w:val="-3"/>
          <w:sz w:val="20"/>
          <w:szCs w:val="20"/>
        </w:rPr>
        <w:t xml:space="preserve"> </w:t>
      </w:r>
      <w:r w:rsidR="00EC4DF9" w:rsidRPr="00EA1DAF">
        <w:rPr>
          <w:rFonts w:asciiTheme="minorHAnsi" w:hAnsiTheme="minorHAnsi"/>
          <w:spacing w:val="-3"/>
          <w:sz w:val="20"/>
          <w:szCs w:val="20"/>
        </w:rPr>
        <w:t>The Congress must continue to preserve the basic health program that was funded in FY 20</w:t>
      </w:r>
      <w:r w:rsidR="008F5B81" w:rsidRPr="00EA1DAF">
        <w:rPr>
          <w:rFonts w:asciiTheme="minorHAnsi" w:hAnsiTheme="minorHAnsi"/>
          <w:spacing w:val="-3"/>
          <w:sz w:val="20"/>
          <w:szCs w:val="20"/>
        </w:rPr>
        <w:t>10</w:t>
      </w:r>
      <w:r w:rsidR="00EC4DF9" w:rsidRPr="00EA1DAF">
        <w:rPr>
          <w:rFonts w:asciiTheme="minorHAnsi" w:hAnsiTheme="minorHAnsi"/>
          <w:spacing w:val="-3"/>
          <w:sz w:val="20"/>
          <w:szCs w:val="20"/>
        </w:rPr>
        <w:t xml:space="preserve"> by providing an increase of at least $4</w:t>
      </w:r>
      <w:r w:rsidR="00E07B02" w:rsidRPr="00EA1DAF">
        <w:rPr>
          <w:rFonts w:asciiTheme="minorHAnsi" w:hAnsiTheme="minorHAnsi"/>
          <w:spacing w:val="-3"/>
          <w:sz w:val="20"/>
          <w:szCs w:val="20"/>
        </w:rPr>
        <w:t>70</w:t>
      </w:r>
      <w:r w:rsidR="00EC4DF9" w:rsidRPr="00EA1DAF">
        <w:rPr>
          <w:rFonts w:asciiTheme="minorHAnsi" w:hAnsiTheme="minorHAnsi"/>
          <w:spacing w:val="-3"/>
          <w:sz w:val="20"/>
          <w:szCs w:val="20"/>
        </w:rPr>
        <w:t xml:space="preserve"> million to the IHS budget.  This recommendation is based on true inflationary rates developed using the CPI’s medical components.  </w:t>
      </w:r>
      <w:r w:rsidR="008F5B81" w:rsidRPr="00EA1DAF">
        <w:rPr>
          <w:rFonts w:asciiTheme="minorHAnsi" w:hAnsiTheme="minorHAnsi"/>
          <w:spacing w:val="-3"/>
          <w:sz w:val="20"/>
          <w:szCs w:val="20"/>
        </w:rPr>
        <w:t>A</w:t>
      </w:r>
      <w:r w:rsidR="00EC4DF9" w:rsidRPr="00EA1DAF">
        <w:rPr>
          <w:rFonts w:asciiTheme="minorHAnsi" w:hAnsiTheme="minorHAnsi"/>
          <w:spacing w:val="-3"/>
          <w:sz w:val="20"/>
          <w:szCs w:val="20"/>
        </w:rPr>
        <w:t>nything less than $4</w:t>
      </w:r>
      <w:r w:rsidR="00E07B02" w:rsidRPr="00EA1DAF">
        <w:rPr>
          <w:rFonts w:asciiTheme="minorHAnsi" w:hAnsiTheme="minorHAnsi"/>
          <w:spacing w:val="-3"/>
          <w:sz w:val="20"/>
          <w:szCs w:val="20"/>
        </w:rPr>
        <w:t>70</w:t>
      </w:r>
      <w:r w:rsidR="008F5B81" w:rsidRPr="00EA1DAF">
        <w:rPr>
          <w:rFonts w:asciiTheme="minorHAnsi" w:hAnsiTheme="minorHAnsi"/>
          <w:spacing w:val="-3"/>
          <w:sz w:val="20"/>
          <w:szCs w:val="20"/>
        </w:rPr>
        <w:t xml:space="preserve"> will leave </w:t>
      </w:r>
      <w:r w:rsidR="00EC4DF9" w:rsidRPr="00EA1DAF">
        <w:rPr>
          <w:rFonts w:asciiTheme="minorHAnsi" w:hAnsiTheme="minorHAnsi"/>
          <w:spacing w:val="-3"/>
          <w:sz w:val="20"/>
          <w:szCs w:val="20"/>
        </w:rPr>
        <w:t xml:space="preserve">IHS and Tribal programs </w:t>
      </w:r>
      <w:r w:rsidR="008F5B81" w:rsidRPr="00EA1DAF">
        <w:rPr>
          <w:rFonts w:asciiTheme="minorHAnsi" w:hAnsiTheme="minorHAnsi"/>
          <w:spacing w:val="-3"/>
          <w:sz w:val="20"/>
          <w:szCs w:val="20"/>
        </w:rPr>
        <w:t xml:space="preserve">with </w:t>
      </w:r>
      <w:r w:rsidR="00EC4DF9" w:rsidRPr="00EA1DAF">
        <w:rPr>
          <w:rFonts w:asciiTheme="minorHAnsi" w:hAnsiTheme="minorHAnsi"/>
          <w:spacing w:val="-3"/>
          <w:sz w:val="20"/>
          <w:szCs w:val="20"/>
        </w:rPr>
        <w:t xml:space="preserve">no alternative but to cut health services to Indian people.  </w:t>
      </w:r>
      <w:r w:rsidR="00017D97" w:rsidRPr="00EA1DAF">
        <w:rPr>
          <w:rFonts w:asciiTheme="minorHAnsi" w:hAnsiTheme="minorHAnsi"/>
          <w:spacing w:val="-3"/>
          <w:sz w:val="20"/>
          <w:szCs w:val="20"/>
        </w:rPr>
        <w:t xml:space="preserve">There simply is no other way for Tribes to absorb these mandatory costs.  </w:t>
      </w:r>
    </w:p>
    <w:p w:rsidR="00EC4DF9" w:rsidRPr="00EA1DAF" w:rsidRDefault="00EC4DF9" w:rsidP="00A74885">
      <w:pPr>
        <w:spacing w:line="300" w:lineRule="exact"/>
        <w:jc w:val="center"/>
        <w:rPr>
          <w:rFonts w:asciiTheme="minorHAnsi" w:hAnsiTheme="minorHAnsi"/>
          <w:spacing w:val="-3"/>
          <w:sz w:val="20"/>
          <w:szCs w:val="20"/>
        </w:rPr>
      </w:pPr>
    </w:p>
    <w:p w:rsidR="002B2D48" w:rsidRPr="00EA1DAF" w:rsidRDefault="00A74885" w:rsidP="00A74885">
      <w:pPr>
        <w:spacing w:line="300" w:lineRule="exact"/>
        <w:jc w:val="center"/>
        <w:rPr>
          <w:rFonts w:asciiTheme="minorHAnsi" w:hAnsiTheme="minorHAnsi"/>
          <w:spacing w:val="-3"/>
          <w:sz w:val="20"/>
          <w:szCs w:val="20"/>
        </w:rPr>
      </w:pPr>
      <w:r w:rsidRPr="00EA1DAF">
        <w:rPr>
          <w:rFonts w:asciiTheme="minorHAnsi" w:hAnsiTheme="minorHAnsi"/>
          <w:spacing w:val="-3"/>
          <w:sz w:val="20"/>
          <w:szCs w:val="20"/>
        </w:rPr>
        <w:t>###</w:t>
      </w:r>
    </w:p>
    <w:p w:rsidR="007C1A61" w:rsidRPr="00AA4D56" w:rsidRDefault="00FA5156" w:rsidP="00615B07">
      <w:pPr>
        <w:spacing w:line="300" w:lineRule="exact"/>
        <w:rPr>
          <w:rFonts w:asciiTheme="minorHAnsi" w:hAnsiTheme="minorHAnsi"/>
          <w:spacing w:val="-3"/>
          <w:sz w:val="22"/>
          <w:szCs w:val="22"/>
        </w:rPr>
      </w:pPr>
      <w:r>
        <w:rPr>
          <w:rFonts w:asciiTheme="minorHAnsi" w:hAnsiTheme="minorHAnsi"/>
          <w:noProof/>
          <w:spacing w:val="-3"/>
          <w:sz w:val="22"/>
          <w:szCs w:val="22"/>
        </w:rPr>
        <w:pict>
          <v:shape id="_x0000_s1036" type="#_x0000_t202" style="position:absolute;margin-left:-6pt;margin-top:24pt;width:468.75pt;height:35.55pt;z-index:251657216;mso-wrap-style:none">
            <v:textbox style="mso-next-textbox:#_x0000_s1036;mso-fit-shape-to-text:t">
              <w:txbxContent>
                <w:p w:rsidR="007C1A61" w:rsidRPr="009D1B3D" w:rsidRDefault="007C1A61" w:rsidP="007C1A61">
                  <w:pPr>
                    <w:pStyle w:val="Footer"/>
                    <w:ind w:right="360"/>
                    <w:rPr>
                      <w:sz w:val="16"/>
                      <w:szCs w:val="16"/>
                    </w:rPr>
                  </w:pPr>
                  <w:r w:rsidRPr="009D1B3D">
                    <w:rPr>
                      <w:sz w:val="16"/>
                      <w:szCs w:val="16"/>
                    </w:rPr>
                    <w:t xml:space="preserve">NPAIHB Policy </w:t>
                  </w:r>
                  <w:r w:rsidR="00EC4DF9">
                    <w:rPr>
                      <w:sz w:val="16"/>
                      <w:szCs w:val="16"/>
                    </w:rPr>
                    <w:t xml:space="preserve">Brief </w:t>
                  </w:r>
                  <w:r w:rsidRPr="009D1B3D">
                    <w:rPr>
                      <w:sz w:val="16"/>
                      <w:szCs w:val="16"/>
                    </w:rPr>
                    <w:t xml:space="preserve">is a publication of the Northwest Portland Area Indian Health Board, 527 S.W. Hall, </w:t>
                  </w:r>
                  <w:smartTag w:uri="urn:schemas-microsoft-com:office:smarttags" w:element="address">
                    <w:smartTag w:uri="urn:schemas-microsoft-com:office:smarttags" w:element="Street">
                      <w:r w:rsidRPr="009D1B3D">
                        <w:rPr>
                          <w:sz w:val="16"/>
                          <w:szCs w:val="16"/>
                        </w:rPr>
                        <w:t>Suite</w:t>
                      </w:r>
                    </w:smartTag>
                    <w:r w:rsidRPr="009D1B3D">
                      <w:rPr>
                        <w:sz w:val="16"/>
                        <w:szCs w:val="16"/>
                      </w:rPr>
                      <w:t xml:space="preserve"> 300</w:t>
                    </w:r>
                  </w:smartTag>
                  <w:r w:rsidRPr="009D1B3D">
                    <w:rPr>
                      <w:sz w:val="16"/>
                      <w:szCs w:val="16"/>
                    </w:rPr>
                    <w:t xml:space="preserve">, </w:t>
                  </w:r>
                  <w:smartTag w:uri="urn:schemas-microsoft-com:office:smarttags" w:element="place">
                    <w:smartTag w:uri="urn:schemas-microsoft-com:office:smarttags" w:element="City">
                      <w:r w:rsidRPr="009D1B3D">
                        <w:rPr>
                          <w:sz w:val="16"/>
                          <w:szCs w:val="16"/>
                        </w:rPr>
                        <w:t>Portland</w:t>
                      </w:r>
                    </w:smartTag>
                    <w:r w:rsidRPr="009D1B3D">
                      <w:rPr>
                        <w:sz w:val="16"/>
                        <w:szCs w:val="16"/>
                      </w:rPr>
                      <w:t xml:space="preserve">, </w:t>
                    </w:r>
                    <w:smartTag w:uri="urn:schemas-microsoft-com:office:smarttags" w:element="State">
                      <w:r w:rsidRPr="009D1B3D">
                        <w:rPr>
                          <w:sz w:val="16"/>
                          <w:szCs w:val="16"/>
                        </w:rPr>
                        <w:t>OR</w:t>
                      </w:r>
                    </w:smartTag>
                    <w:r w:rsidRPr="009D1B3D">
                      <w:rPr>
                        <w:sz w:val="16"/>
                        <w:szCs w:val="16"/>
                      </w:rPr>
                      <w:t xml:space="preserve"> </w:t>
                    </w:r>
                    <w:smartTag w:uri="urn:schemas-microsoft-com:office:smarttags" w:element="PostalCode">
                      <w:r w:rsidRPr="009D1B3D">
                        <w:rPr>
                          <w:sz w:val="16"/>
                          <w:szCs w:val="16"/>
                        </w:rPr>
                        <w:t>97140</w:t>
                      </w:r>
                    </w:smartTag>
                  </w:smartTag>
                  <w:r w:rsidRPr="009D1B3D">
                    <w:rPr>
                      <w:sz w:val="16"/>
                      <w:szCs w:val="16"/>
                    </w:rPr>
                    <w:t xml:space="preserve">.  For more information visit </w:t>
                  </w:r>
                  <w:hyperlink r:id="rId14" w:history="1">
                    <w:r w:rsidRPr="009D1B3D">
                      <w:rPr>
                        <w:rStyle w:val="Hyperlink"/>
                        <w:sz w:val="16"/>
                        <w:szCs w:val="16"/>
                      </w:rPr>
                      <w:t>www.npaihb.org</w:t>
                    </w:r>
                  </w:hyperlink>
                  <w:r w:rsidRPr="009D1B3D">
                    <w:rPr>
                      <w:sz w:val="16"/>
                      <w:szCs w:val="16"/>
                    </w:rPr>
                    <w:t xml:space="preserve"> or contact Jim Roberts, Policy Analyst, at (503) 228-4185 or by email </w:t>
                  </w:r>
                  <w:hyperlink r:id="rId15" w:history="1">
                    <w:r w:rsidRPr="009D1B3D">
                      <w:rPr>
                        <w:rStyle w:val="Hyperlink"/>
                        <w:sz w:val="16"/>
                        <w:szCs w:val="16"/>
                      </w:rPr>
                      <w:t>jroberts@npaihb.org</w:t>
                    </w:r>
                  </w:hyperlink>
                  <w:r w:rsidRPr="009D1B3D">
                    <w:rPr>
                      <w:sz w:val="16"/>
                      <w:szCs w:val="16"/>
                    </w:rPr>
                    <w:t xml:space="preserve">.  </w:t>
                  </w:r>
                </w:p>
              </w:txbxContent>
            </v:textbox>
            <w10:wrap type="square"/>
          </v:shape>
        </w:pict>
      </w:r>
    </w:p>
    <w:sectPr w:rsidR="007C1A61" w:rsidRPr="00AA4D56" w:rsidSect="00736D6A">
      <w:footerReference w:type="even" r:id="rId16"/>
      <w:footerReference w:type="default" r:id="rId17"/>
      <w:type w:val="continuous"/>
      <w:pgSz w:w="12240" w:h="15840" w:code="1"/>
      <w:pgMar w:top="1152" w:right="1080" w:bottom="1152"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47D" w:rsidRDefault="00F8247D">
      <w:r>
        <w:separator/>
      </w:r>
    </w:p>
  </w:endnote>
  <w:endnote w:type="continuationSeparator" w:id="1">
    <w:p w:rsidR="00F8247D" w:rsidRDefault="00F824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F3" w:rsidRPr="00736D6A" w:rsidRDefault="00FA5156">
    <w:pPr>
      <w:pStyle w:val="Footer"/>
      <w:framePr w:wrap="around" w:vAnchor="text" w:hAnchor="margin" w:xAlign="right" w:y="1"/>
      <w:rPr>
        <w:rStyle w:val="PageNumber"/>
        <w:rFonts w:asciiTheme="minorHAnsi" w:hAnsiTheme="minorHAnsi"/>
        <w:sz w:val="20"/>
        <w:szCs w:val="22"/>
      </w:rPr>
    </w:pPr>
    <w:r w:rsidRPr="00736D6A">
      <w:rPr>
        <w:rStyle w:val="PageNumber"/>
        <w:rFonts w:asciiTheme="minorHAnsi" w:hAnsiTheme="minorHAnsi"/>
        <w:sz w:val="20"/>
        <w:szCs w:val="22"/>
      </w:rPr>
      <w:fldChar w:fldCharType="begin"/>
    </w:r>
    <w:r w:rsidR="00501AF3" w:rsidRPr="00736D6A">
      <w:rPr>
        <w:rStyle w:val="PageNumber"/>
        <w:rFonts w:asciiTheme="minorHAnsi" w:hAnsiTheme="minorHAnsi"/>
        <w:sz w:val="20"/>
        <w:szCs w:val="22"/>
      </w:rPr>
      <w:instrText xml:space="preserve">PAGE  </w:instrText>
    </w:r>
    <w:r w:rsidRPr="00736D6A">
      <w:rPr>
        <w:rStyle w:val="PageNumber"/>
        <w:rFonts w:asciiTheme="minorHAnsi" w:hAnsiTheme="minorHAnsi"/>
        <w:sz w:val="20"/>
        <w:szCs w:val="22"/>
      </w:rPr>
      <w:fldChar w:fldCharType="separate"/>
    </w:r>
    <w:r w:rsidR="0015483E">
      <w:rPr>
        <w:rStyle w:val="PageNumber"/>
        <w:rFonts w:asciiTheme="minorHAnsi" w:hAnsiTheme="minorHAnsi"/>
        <w:noProof/>
        <w:sz w:val="20"/>
        <w:szCs w:val="22"/>
      </w:rPr>
      <w:t>4</w:t>
    </w:r>
    <w:r w:rsidRPr="00736D6A">
      <w:rPr>
        <w:rStyle w:val="PageNumber"/>
        <w:rFonts w:asciiTheme="minorHAnsi" w:hAnsiTheme="minorHAnsi"/>
        <w:sz w:val="20"/>
        <w:szCs w:val="22"/>
      </w:rPr>
      <w:fldChar w:fldCharType="end"/>
    </w:r>
  </w:p>
  <w:p w:rsidR="00501AF3" w:rsidRDefault="00501AF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F3" w:rsidRPr="007F0EEE" w:rsidRDefault="00FA5156">
    <w:pPr>
      <w:pStyle w:val="Footer"/>
      <w:framePr w:wrap="around" w:vAnchor="text" w:hAnchor="margin" w:xAlign="right" w:y="1"/>
      <w:rPr>
        <w:rStyle w:val="PageNumber"/>
        <w:rFonts w:asciiTheme="minorHAnsi" w:hAnsiTheme="minorHAnsi"/>
        <w:sz w:val="20"/>
      </w:rPr>
    </w:pPr>
    <w:r w:rsidRPr="007F0EEE">
      <w:rPr>
        <w:rStyle w:val="PageNumber"/>
        <w:rFonts w:asciiTheme="minorHAnsi" w:hAnsiTheme="minorHAnsi"/>
        <w:sz w:val="20"/>
      </w:rPr>
      <w:fldChar w:fldCharType="begin"/>
    </w:r>
    <w:r w:rsidR="00501AF3" w:rsidRPr="007F0EEE">
      <w:rPr>
        <w:rStyle w:val="PageNumber"/>
        <w:rFonts w:asciiTheme="minorHAnsi" w:hAnsiTheme="minorHAnsi"/>
        <w:sz w:val="20"/>
      </w:rPr>
      <w:instrText xml:space="preserve">PAGE  </w:instrText>
    </w:r>
    <w:r w:rsidRPr="007F0EEE">
      <w:rPr>
        <w:rStyle w:val="PageNumber"/>
        <w:rFonts w:asciiTheme="minorHAnsi" w:hAnsiTheme="minorHAnsi"/>
        <w:sz w:val="20"/>
      </w:rPr>
      <w:fldChar w:fldCharType="separate"/>
    </w:r>
    <w:r w:rsidR="0015483E">
      <w:rPr>
        <w:rStyle w:val="PageNumber"/>
        <w:rFonts w:asciiTheme="minorHAnsi" w:hAnsiTheme="minorHAnsi"/>
        <w:noProof/>
        <w:sz w:val="20"/>
      </w:rPr>
      <w:t>3</w:t>
    </w:r>
    <w:r w:rsidRPr="007F0EEE">
      <w:rPr>
        <w:rStyle w:val="PageNumber"/>
        <w:rFonts w:asciiTheme="minorHAnsi" w:hAnsiTheme="minorHAnsi"/>
        <w:sz w:val="20"/>
      </w:rPr>
      <w:fldChar w:fldCharType="end"/>
    </w:r>
  </w:p>
  <w:p w:rsidR="00501AF3" w:rsidRPr="00425290" w:rsidRDefault="00501AF3" w:rsidP="009D1B3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47D" w:rsidRDefault="00F8247D">
      <w:r>
        <w:separator/>
      </w:r>
    </w:p>
  </w:footnote>
  <w:footnote w:type="continuationSeparator" w:id="1">
    <w:p w:rsidR="00F8247D" w:rsidRDefault="00F824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63D71"/>
    <w:multiLevelType w:val="hybridMultilevel"/>
    <w:tmpl w:val="C9EE3CD4"/>
    <w:lvl w:ilvl="0" w:tplc="EF9A79E4">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F919A6"/>
    <w:multiLevelType w:val="hybridMultilevel"/>
    <w:tmpl w:val="42AE6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1"/>
  <w:attachedTemplate r:id="rId1"/>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B7D79"/>
    <w:rsid w:val="00000EDC"/>
    <w:rsid w:val="00013073"/>
    <w:rsid w:val="00017D97"/>
    <w:rsid w:val="000227E3"/>
    <w:rsid w:val="000267DF"/>
    <w:rsid w:val="00040A02"/>
    <w:rsid w:val="00043E53"/>
    <w:rsid w:val="000454AC"/>
    <w:rsid w:val="00050B00"/>
    <w:rsid w:val="00072A5C"/>
    <w:rsid w:val="00080211"/>
    <w:rsid w:val="0008633B"/>
    <w:rsid w:val="00097792"/>
    <w:rsid w:val="000A1D14"/>
    <w:rsid w:val="000A3F8B"/>
    <w:rsid w:val="000A5444"/>
    <w:rsid w:val="000B755F"/>
    <w:rsid w:val="000C67F7"/>
    <w:rsid w:val="000D4663"/>
    <w:rsid w:val="000D5FB5"/>
    <w:rsid w:val="000E4B78"/>
    <w:rsid w:val="000F4331"/>
    <w:rsid w:val="00103D2B"/>
    <w:rsid w:val="001075B3"/>
    <w:rsid w:val="001205CD"/>
    <w:rsid w:val="00125922"/>
    <w:rsid w:val="00137CD7"/>
    <w:rsid w:val="001445CD"/>
    <w:rsid w:val="001472F2"/>
    <w:rsid w:val="0015483E"/>
    <w:rsid w:val="00157874"/>
    <w:rsid w:val="001613FB"/>
    <w:rsid w:val="0016614D"/>
    <w:rsid w:val="0016722C"/>
    <w:rsid w:val="00170688"/>
    <w:rsid w:val="00180511"/>
    <w:rsid w:val="001836D6"/>
    <w:rsid w:val="0018472D"/>
    <w:rsid w:val="001967F7"/>
    <w:rsid w:val="001A5901"/>
    <w:rsid w:val="001B35EB"/>
    <w:rsid w:val="001B5D2D"/>
    <w:rsid w:val="001B6878"/>
    <w:rsid w:val="001B7D79"/>
    <w:rsid w:val="001C25F8"/>
    <w:rsid w:val="001D27D7"/>
    <w:rsid w:val="001E16EF"/>
    <w:rsid w:val="001F14FD"/>
    <w:rsid w:val="001F59FD"/>
    <w:rsid w:val="001F7EB8"/>
    <w:rsid w:val="00202970"/>
    <w:rsid w:val="002063E1"/>
    <w:rsid w:val="00222A83"/>
    <w:rsid w:val="00231BCB"/>
    <w:rsid w:val="00252852"/>
    <w:rsid w:val="00253194"/>
    <w:rsid w:val="00254E51"/>
    <w:rsid w:val="00272E6D"/>
    <w:rsid w:val="00273A6B"/>
    <w:rsid w:val="00273E3B"/>
    <w:rsid w:val="00286021"/>
    <w:rsid w:val="00287ED9"/>
    <w:rsid w:val="002962D7"/>
    <w:rsid w:val="002A09C0"/>
    <w:rsid w:val="002B1CFC"/>
    <w:rsid w:val="002B2D48"/>
    <w:rsid w:val="002C3B3D"/>
    <w:rsid w:val="002C60AB"/>
    <w:rsid w:val="002D1A0E"/>
    <w:rsid w:val="002D1B42"/>
    <w:rsid w:val="002D3CDB"/>
    <w:rsid w:val="002D411A"/>
    <w:rsid w:val="002D79B1"/>
    <w:rsid w:val="002E1712"/>
    <w:rsid w:val="002E35B4"/>
    <w:rsid w:val="002F6FCC"/>
    <w:rsid w:val="00307148"/>
    <w:rsid w:val="0031018B"/>
    <w:rsid w:val="003204D7"/>
    <w:rsid w:val="00320EA8"/>
    <w:rsid w:val="00330632"/>
    <w:rsid w:val="0034188E"/>
    <w:rsid w:val="003676C5"/>
    <w:rsid w:val="00370C4F"/>
    <w:rsid w:val="0037608E"/>
    <w:rsid w:val="003A0A44"/>
    <w:rsid w:val="003B3FD9"/>
    <w:rsid w:val="003C7231"/>
    <w:rsid w:val="003F7CA5"/>
    <w:rsid w:val="00400738"/>
    <w:rsid w:val="00407A1C"/>
    <w:rsid w:val="00422B88"/>
    <w:rsid w:val="00425290"/>
    <w:rsid w:val="004541C4"/>
    <w:rsid w:val="00455E6F"/>
    <w:rsid w:val="00466F06"/>
    <w:rsid w:val="00471166"/>
    <w:rsid w:val="004810D9"/>
    <w:rsid w:val="004838B0"/>
    <w:rsid w:val="004846AD"/>
    <w:rsid w:val="00485826"/>
    <w:rsid w:val="004868DA"/>
    <w:rsid w:val="004A1102"/>
    <w:rsid w:val="004A1DEB"/>
    <w:rsid w:val="004A31C4"/>
    <w:rsid w:val="004A4445"/>
    <w:rsid w:val="004A54BE"/>
    <w:rsid w:val="004B0E9B"/>
    <w:rsid w:val="004B70F0"/>
    <w:rsid w:val="004C6C78"/>
    <w:rsid w:val="004D15BA"/>
    <w:rsid w:val="004D3D94"/>
    <w:rsid w:val="004E59FF"/>
    <w:rsid w:val="004F64D0"/>
    <w:rsid w:val="00501AF3"/>
    <w:rsid w:val="005055E4"/>
    <w:rsid w:val="005300BF"/>
    <w:rsid w:val="00530DBC"/>
    <w:rsid w:val="0053543F"/>
    <w:rsid w:val="00557161"/>
    <w:rsid w:val="00560C0A"/>
    <w:rsid w:val="00564AA5"/>
    <w:rsid w:val="00566164"/>
    <w:rsid w:val="0057191C"/>
    <w:rsid w:val="00574259"/>
    <w:rsid w:val="00576FEC"/>
    <w:rsid w:val="0057702E"/>
    <w:rsid w:val="0058154D"/>
    <w:rsid w:val="0058521E"/>
    <w:rsid w:val="0059321C"/>
    <w:rsid w:val="005971A1"/>
    <w:rsid w:val="005A4F4B"/>
    <w:rsid w:val="005C233D"/>
    <w:rsid w:val="005D2950"/>
    <w:rsid w:val="005D553C"/>
    <w:rsid w:val="005E0FF5"/>
    <w:rsid w:val="005E2737"/>
    <w:rsid w:val="005E36AB"/>
    <w:rsid w:val="005F36D9"/>
    <w:rsid w:val="005F3AB1"/>
    <w:rsid w:val="005F46D8"/>
    <w:rsid w:val="00607B83"/>
    <w:rsid w:val="00615B07"/>
    <w:rsid w:val="00625A73"/>
    <w:rsid w:val="00627EC0"/>
    <w:rsid w:val="0063772E"/>
    <w:rsid w:val="00637886"/>
    <w:rsid w:val="00647F39"/>
    <w:rsid w:val="006533FD"/>
    <w:rsid w:val="00675DD1"/>
    <w:rsid w:val="00683C1A"/>
    <w:rsid w:val="00696994"/>
    <w:rsid w:val="006A1E23"/>
    <w:rsid w:val="006A2566"/>
    <w:rsid w:val="006A262C"/>
    <w:rsid w:val="006A5321"/>
    <w:rsid w:val="006B272F"/>
    <w:rsid w:val="006B555B"/>
    <w:rsid w:val="006B5E0A"/>
    <w:rsid w:val="006B766C"/>
    <w:rsid w:val="006C4022"/>
    <w:rsid w:val="006C576A"/>
    <w:rsid w:val="006D4176"/>
    <w:rsid w:val="006D6E6A"/>
    <w:rsid w:val="006D721A"/>
    <w:rsid w:val="006E4A6C"/>
    <w:rsid w:val="006E7053"/>
    <w:rsid w:val="006F5939"/>
    <w:rsid w:val="00703F9C"/>
    <w:rsid w:val="00710936"/>
    <w:rsid w:val="00713923"/>
    <w:rsid w:val="0071412C"/>
    <w:rsid w:val="007230CB"/>
    <w:rsid w:val="00733B81"/>
    <w:rsid w:val="00736D6A"/>
    <w:rsid w:val="007411D8"/>
    <w:rsid w:val="0074156E"/>
    <w:rsid w:val="00743936"/>
    <w:rsid w:val="00743C1C"/>
    <w:rsid w:val="007541B2"/>
    <w:rsid w:val="007612E5"/>
    <w:rsid w:val="007811DC"/>
    <w:rsid w:val="00784F39"/>
    <w:rsid w:val="00787A1D"/>
    <w:rsid w:val="007A30DF"/>
    <w:rsid w:val="007B1D37"/>
    <w:rsid w:val="007C1A61"/>
    <w:rsid w:val="007D219D"/>
    <w:rsid w:val="007F0D68"/>
    <w:rsid w:val="007F0EEE"/>
    <w:rsid w:val="007F2B7E"/>
    <w:rsid w:val="007F657A"/>
    <w:rsid w:val="007F7870"/>
    <w:rsid w:val="00810C07"/>
    <w:rsid w:val="00811C79"/>
    <w:rsid w:val="0081729D"/>
    <w:rsid w:val="00817A8A"/>
    <w:rsid w:val="00821F05"/>
    <w:rsid w:val="00822DCA"/>
    <w:rsid w:val="00833282"/>
    <w:rsid w:val="00844B10"/>
    <w:rsid w:val="00844DAD"/>
    <w:rsid w:val="00851687"/>
    <w:rsid w:val="00855ABE"/>
    <w:rsid w:val="00857C29"/>
    <w:rsid w:val="00862DB7"/>
    <w:rsid w:val="00864D72"/>
    <w:rsid w:val="00866E22"/>
    <w:rsid w:val="0087030C"/>
    <w:rsid w:val="008724E7"/>
    <w:rsid w:val="00875C66"/>
    <w:rsid w:val="008836CE"/>
    <w:rsid w:val="008946F8"/>
    <w:rsid w:val="008A099D"/>
    <w:rsid w:val="008D3311"/>
    <w:rsid w:val="008D7230"/>
    <w:rsid w:val="008D7D19"/>
    <w:rsid w:val="008E48E6"/>
    <w:rsid w:val="008E4903"/>
    <w:rsid w:val="008F5B81"/>
    <w:rsid w:val="0090517B"/>
    <w:rsid w:val="0090763B"/>
    <w:rsid w:val="009107AB"/>
    <w:rsid w:val="00917724"/>
    <w:rsid w:val="009300A3"/>
    <w:rsid w:val="00934A13"/>
    <w:rsid w:val="00941ED4"/>
    <w:rsid w:val="0097256D"/>
    <w:rsid w:val="0097532F"/>
    <w:rsid w:val="0097557B"/>
    <w:rsid w:val="009767A1"/>
    <w:rsid w:val="00976AE1"/>
    <w:rsid w:val="00980FA2"/>
    <w:rsid w:val="0098779E"/>
    <w:rsid w:val="009B129A"/>
    <w:rsid w:val="009B134A"/>
    <w:rsid w:val="009B3785"/>
    <w:rsid w:val="009B3A0C"/>
    <w:rsid w:val="009B69B7"/>
    <w:rsid w:val="009D1B3D"/>
    <w:rsid w:val="009D7ADD"/>
    <w:rsid w:val="009E4A57"/>
    <w:rsid w:val="009F482E"/>
    <w:rsid w:val="00A00B59"/>
    <w:rsid w:val="00A14627"/>
    <w:rsid w:val="00A158AD"/>
    <w:rsid w:val="00A17FEC"/>
    <w:rsid w:val="00A21445"/>
    <w:rsid w:val="00A40815"/>
    <w:rsid w:val="00A4405C"/>
    <w:rsid w:val="00A52D1F"/>
    <w:rsid w:val="00A608AA"/>
    <w:rsid w:val="00A61F46"/>
    <w:rsid w:val="00A62DDB"/>
    <w:rsid w:val="00A65782"/>
    <w:rsid w:val="00A659F6"/>
    <w:rsid w:val="00A73C69"/>
    <w:rsid w:val="00A74885"/>
    <w:rsid w:val="00A84589"/>
    <w:rsid w:val="00A848F2"/>
    <w:rsid w:val="00AA30D1"/>
    <w:rsid w:val="00AA4D56"/>
    <w:rsid w:val="00AB302A"/>
    <w:rsid w:val="00AC6AE3"/>
    <w:rsid w:val="00AE3E8A"/>
    <w:rsid w:val="00B021BA"/>
    <w:rsid w:val="00B030B6"/>
    <w:rsid w:val="00B05744"/>
    <w:rsid w:val="00B20413"/>
    <w:rsid w:val="00B22695"/>
    <w:rsid w:val="00B42281"/>
    <w:rsid w:val="00B44045"/>
    <w:rsid w:val="00B50B1D"/>
    <w:rsid w:val="00B7245D"/>
    <w:rsid w:val="00B73B6E"/>
    <w:rsid w:val="00B8083F"/>
    <w:rsid w:val="00B82A97"/>
    <w:rsid w:val="00B972CF"/>
    <w:rsid w:val="00BA319C"/>
    <w:rsid w:val="00BA3E01"/>
    <w:rsid w:val="00BA5AD0"/>
    <w:rsid w:val="00BB0D12"/>
    <w:rsid w:val="00BB4881"/>
    <w:rsid w:val="00BB6FD8"/>
    <w:rsid w:val="00BC516D"/>
    <w:rsid w:val="00BD6035"/>
    <w:rsid w:val="00BE44E1"/>
    <w:rsid w:val="00BF3D7A"/>
    <w:rsid w:val="00C12197"/>
    <w:rsid w:val="00C14D29"/>
    <w:rsid w:val="00C30515"/>
    <w:rsid w:val="00C44364"/>
    <w:rsid w:val="00C46645"/>
    <w:rsid w:val="00C50C37"/>
    <w:rsid w:val="00C519E3"/>
    <w:rsid w:val="00C618D7"/>
    <w:rsid w:val="00C63DC1"/>
    <w:rsid w:val="00C6786F"/>
    <w:rsid w:val="00C70EF9"/>
    <w:rsid w:val="00C74F19"/>
    <w:rsid w:val="00C766F4"/>
    <w:rsid w:val="00C76AEA"/>
    <w:rsid w:val="00C80C33"/>
    <w:rsid w:val="00C90726"/>
    <w:rsid w:val="00C96140"/>
    <w:rsid w:val="00CC053F"/>
    <w:rsid w:val="00CC0BB5"/>
    <w:rsid w:val="00CD2A4F"/>
    <w:rsid w:val="00CD32FA"/>
    <w:rsid w:val="00CF423A"/>
    <w:rsid w:val="00D0579F"/>
    <w:rsid w:val="00D07C5A"/>
    <w:rsid w:val="00D22101"/>
    <w:rsid w:val="00D22E03"/>
    <w:rsid w:val="00D24E07"/>
    <w:rsid w:val="00D279D5"/>
    <w:rsid w:val="00D36DA4"/>
    <w:rsid w:val="00D37858"/>
    <w:rsid w:val="00D41C88"/>
    <w:rsid w:val="00D50196"/>
    <w:rsid w:val="00D6564D"/>
    <w:rsid w:val="00D8271F"/>
    <w:rsid w:val="00D852C8"/>
    <w:rsid w:val="00D93727"/>
    <w:rsid w:val="00D95E81"/>
    <w:rsid w:val="00D97FA2"/>
    <w:rsid w:val="00DA138A"/>
    <w:rsid w:val="00DA2DDF"/>
    <w:rsid w:val="00DB4E61"/>
    <w:rsid w:val="00DB7815"/>
    <w:rsid w:val="00DD7C45"/>
    <w:rsid w:val="00DE01D6"/>
    <w:rsid w:val="00DE6B31"/>
    <w:rsid w:val="00DF1082"/>
    <w:rsid w:val="00DF146B"/>
    <w:rsid w:val="00E06C9A"/>
    <w:rsid w:val="00E07B02"/>
    <w:rsid w:val="00E142DC"/>
    <w:rsid w:val="00E14717"/>
    <w:rsid w:val="00E27559"/>
    <w:rsid w:val="00E46264"/>
    <w:rsid w:val="00E53453"/>
    <w:rsid w:val="00E54D77"/>
    <w:rsid w:val="00E67C45"/>
    <w:rsid w:val="00E70341"/>
    <w:rsid w:val="00E7044B"/>
    <w:rsid w:val="00E722FB"/>
    <w:rsid w:val="00E74C53"/>
    <w:rsid w:val="00E75324"/>
    <w:rsid w:val="00E82D7A"/>
    <w:rsid w:val="00E9250D"/>
    <w:rsid w:val="00EA1DAF"/>
    <w:rsid w:val="00EA33CD"/>
    <w:rsid w:val="00EB2A2B"/>
    <w:rsid w:val="00EC3A95"/>
    <w:rsid w:val="00EC4DF9"/>
    <w:rsid w:val="00ED0132"/>
    <w:rsid w:val="00ED14A7"/>
    <w:rsid w:val="00ED3EA3"/>
    <w:rsid w:val="00ED539A"/>
    <w:rsid w:val="00ED6905"/>
    <w:rsid w:val="00EE1D7A"/>
    <w:rsid w:val="00EE3930"/>
    <w:rsid w:val="00EE44AF"/>
    <w:rsid w:val="00EE57E8"/>
    <w:rsid w:val="00EF0AB5"/>
    <w:rsid w:val="00EF0F1F"/>
    <w:rsid w:val="00EF45A4"/>
    <w:rsid w:val="00F01700"/>
    <w:rsid w:val="00F12CB5"/>
    <w:rsid w:val="00F23797"/>
    <w:rsid w:val="00F41B7C"/>
    <w:rsid w:val="00F47A46"/>
    <w:rsid w:val="00F62E37"/>
    <w:rsid w:val="00F635AD"/>
    <w:rsid w:val="00F67100"/>
    <w:rsid w:val="00F75E61"/>
    <w:rsid w:val="00F815E3"/>
    <w:rsid w:val="00F8247D"/>
    <w:rsid w:val="00F85290"/>
    <w:rsid w:val="00F85C52"/>
    <w:rsid w:val="00F92C01"/>
    <w:rsid w:val="00F95E70"/>
    <w:rsid w:val="00F962FA"/>
    <w:rsid w:val="00F96FE2"/>
    <w:rsid w:val="00FA5156"/>
    <w:rsid w:val="00FA6A76"/>
    <w:rsid w:val="00FB26CC"/>
    <w:rsid w:val="00FB5619"/>
    <w:rsid w:val="00FC79B8"/>
    <w:rsid w:val="00FD56F0"/>
    <w:rsid w:val="00FD68BA"/>
    <w:rsid w:val="00FD7A52"/>
    <w:rsid w:val="00FF2D6A"/>
    <w:rsid w:val="00FF4226"/>
    <w:rsid w:val="00FF6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27E3"/>
    <w:rPr>
      <w:sz w:val="24"/>
      <w:szCs w:val="24"/>
    </w:rPr>
  </w:style>
  <w:style w:type="paragraph" w:styleId="Heading1">
    <w:name w:val="heading 1"/>
    <w:basedOn w:val="Normal"/>
    <w:next w:val="Normal"/>
    <w:qFormat/>
    <w:rsid w:val="000227E3"/>
    <w:pPr>
      <w:keepNext/>
      <w:jc w:val="right"/>
      <w:outlineLvl w:val="0"/>
    </w:pPr>
    <w:rPr>
      <w:rFonts w:ascii="Arial" w:hAnsi="Arial" w:cs="Arial"/>
      <w:sz w:val="36"/>
      <w:u w:val="single"/>
    </w:rPr>
  </w:style>
  <w:style w:type="paragraph" w:styleId="Heading2">
    <w:name w:val="heading 2"/>
    <w:basedOn w:val="Normal"/>
    <w:next w:val="Normal"/>
    <w:qFormat/>
    <w:rsid w:val="000227E3"/>
    <w:pPr>
      <w:keepNext/>
      <w:outlineLvl w:val="1"/>
    </w:pPr>
    <w:rPr>
      <w:b/>
      <w:bCs/>
    </w:rPr>
  </w:style>
  <w:style w:type="paragraph" w:styleId="Heading3">
    <w:name w:val="heading 3"/>
    <w:basedOn w:val="Normal"/>
    <w:next w:val="Normal"/>
    <w:qFormat/>
    <w:rsid w:val="000227E3"/>
    <w:pPr>
      <w:keepNext/>
      <w:spacing w:before="240" w:after="60"/>
      <w:jc w:val="both"/>
      <w:outlineLvl w:val="2"/>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227E3"/>
    <w:rPr>
      <w:szCs w:val="20"/>
    </w:rPr>
  </w:style>
  <w:style w:type="paragraph" w:styleId="BodyTextIndent">
    <w:name w:val="Body Text Indent"/>
    <w:basedOn w:val="Normal"/>
    <w:rsid w:val="000227E3"/>
    <w:pPr>
      <w:tabs>
        <w:tab w:val="left" w:pos="-1440"/>
        <w:tab w:val="left" w:pos="-720"/>
        <w:tab w:val="left" w:pos="90"/>
      </w:tabs>
      <w:suppressAutoHyphens/>
      <w:ind w:left="90"/>
      <w:jc w:val="both"/>
    </w:pPr>
    <w:rPr>
      <w:spacing w:val="-3"/>
      <w:szCs w:val="20"/>
    </w:rPr>
  </w:style>
  <w:style w:type="paragraph" w:styleId="Footer">
    <w:name w:val="footer"/>
    <w:basedOn w:val="Normal"/>
    <w:rsid w:val="000227E3"/>
    <w:pPr>
      <w:tabs>
        <w:tab w:val="center" w:pos="4320"/>
        <w:tab w:val="right" w:pos="8640"/>
      </w:tabs>
    </w:pPr>
  </w:style>
  <w:style w:type="character" w:styleId="PageNumber">
    <w:name w:val="page number"/>
    <w:basedOn w:val="DefaultParagraphFont"/>
    <w:rsid w:val="000227E3"/>
  </w:style>
  <w:style w:type="paragraph" w:styleId="Header">
    <w:name w:val="header"/>
    <w:basedOn w:val="Normal"/>
    <w:rsid w:val="00810C07"/>
    <w:pPr>
      <w:tabs>
        <w:tab w:val="center" w:pos="4320"/>
        <w:tab w:val="right" w:pos="8640"/>
      </w:tabs>
    </w:pPr>
  </w:style>
  <w:style w:type="character" w:styleId="Hyperlink">
    <w:name w:val="Hyperlink"/>
    <w:basedOn w:val="DefaultParagraphFont"/>
    <w:rsid w:val="00810C07"/>
    <w:rPr>
      <w:color w:val="0000FF"/>
      <w:u w:val="single"/>
    </w:rPr>
  </w:style>
  <w:style w:type="paragraph" w:styleId="FootnoteText">
    <w:name w:val="footnote text"/>
    <w:basedOn w:val="Normal"/>
    <w:semiHidden/>
    <w:rsid w:val="00287ED9"/>
    <w:rPr>
      <w:sz w:val="20"/>
      <w:szCs w:val="20"/>
    </w:rPr>
  </w:style>
  <w:style w:type="character" w:styleId="FootnoteReference">
    <w:name w:val="footnote reference"/>
    <w:basedOn w:val="DefaultParagraphFont"/>
    <w:semiHidden/>
    <w:rsid w:val="00287ED9"/>
    <w:rPr>
      <w:vertAlign w:val="superscript"/>
    </w:rPr>
  </w:style>
  <w:style w:type="paragraph" w:styleId="BalloonText">
    <w:name w:val="Balloon Text"/>
    <w:basedOn w:val="Normal"/>
    <w:semiHidden/>
    <w:rsid w:val="00F67100"/>
    <w:rPr>
      <w:rFonts w:ascii="Tahoma" w:hAnsi="Tahoma" w:cs="Tahoma"/>
      <w:sz w:val="16"/>
      <w:szCs w:val="16"/>
    </w:rPr>
  </w:style>
  <w:style w:type="paragraph" w:styleId="ListParagraph">
    <w:name w:val="List Paragraph"/>
    <w:basedOn w:val="Normal"/>
    <w:uiPriority w:val="34"/>
    <w:qFormat/>
    <w:rsid w:val="00273A6B"/>
    <w:pPr>
      <w:ind w:left="720"/>
      <w:contextualSpacing/>
    </w:pPr>
  </w:style>
</w:styles>
</file>

<file path=word/webSettings.xml><?xml version="1.0" encoding="utf-8"?>
<w:webSettings xmlns:r="http://schemas.openxmlformats.org/officeDocument/2006/relationships" xmlns:w="http://schemas.openxmlformats.org/wordprocessingml/2006/main">
  <w:divs>
    <w:div w:id="1500076557">
      <w:bodyDiv w:val="1"/>
      <w:marLeft w:val="0"/>
      <w:marRight w:val="0"/>
      <w:marTop w:val="0"/>
      <w:marBottom w:val="0"/>
      <w:divBdr>
        <w:top w:val="none" w:sz="0" w:space="0" w:color="auto"/>
        <w:left w:val="none" w:sz="0" w:space="0" w:color="auto"/>
        <w:bottom w:val="none" w:sz="0" w:space="0" w:color="auto"/>
        <w:right w:val="none" w:sz="0" w:space="0" w:color="auto"/>
      </w:divBdr>
    </w:div>
    <w:div w:id="153192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mailto:jroberts@npaihb.org" TargetMode="Externa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npaihb.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roberts\Application%20Data\Microsoft\Templates\NPAIHB%20POLICY%20UP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3242D-CD67-402D-870C-E7667996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NPAIHB POLICY UPDATE</Template>
  <TotalTime>420</TotalTime>
  <Pages>5</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lpstr>
    </vt:vector>
  </TitlesOfParts>
  <Company>NPAIHB</Company>
  <LinksUpToDate>false</LinksUpToDate>
  <CharactersWithSpaces>14151</CharactersWithSpaces>
  <SharedDoc>false</SharedDoc>
  <HLinks>
    <vt:vector size="12" baseType="variant">
      <vt:variant>
        <vt:i4>4522080</vt:i4>
      </vt:variant>
      <vt:variant>
        <vt:i4>3</vt:i4>
      </vt:variant>
      <vt:variant>
        <vt:i4>0</vt:i4>
      </vt:variant>
      <vt:variant>
        <vt:i4>5</vt:i4>
      </vt:variant>
      <vt:variant>
        <vt:lpwstr>mailto:jroberts@npaihb.org</vt:lpwstr>
      </vt:variant>
      <vt:variant>
        <vt:lpwstr/>
      </vt:variant>
      <vt:variant>
        <vt:i4>4128803</vt:i4>
      </vt:variant>
      <vt:variant>
        <vt:i4>0</vt:i4>
      </vt:variant>
      <vt:variant>
        <vt:i4>0</vt:i4>
      </vt:variant>
      <vt:variant>
        <vt:i4>5</vt:i4>
      </vt:variant>
      <vt:variant>
        <vt:lpwstr>http://www.npaihb.org/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Jim Roberts</dc:creator>
  <cp:keywords/>
  <dc:description/>
  <cp:lastModifiedBy>James Roberts</cp:lastModifiedBy>
  <cp:revision>44</cp:revision>
  <cp:lastPrinted>2008-03-01T06:22:00Z</cp:lastPrinted>
  <dcterms:created xsi:type="dcterms:W3CDTF">2009-03-16T20:21:00Z</dcterms:created>
  <dcterms:modified xsi:type="dcterms:W3CDTF">2009-03-23T15:58:00Z</dcterms:modified>
</cp:coreProperties>
</file>